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2407">
        <w:rPr>
          <w:rFonts w:ascii="Times New Roman" w:hAnsi="Times New Roman" w:cs="Times New Roman"/>
          <w:sz w:val="28"/>
          <w:szCs w:val="28"/>
        </w:rPr>
        <w:t>НАУЧНЫЕ ПУБЛИКАЦИИ КУТУЗОВА ИЛЬЯСА МИФТАХОВИЧА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2023.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2.ПРАВО УСТОЙЧИВОГО РАЗВИТИЯ И ESG-СТАНДАРТЫ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Москва, 2022.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3.МЕЖДУНАРОДНОЕ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4.ЦИФРОВОЙ РУБЛЬ КАК СРЕДСТВО ПЛАТЕЖА В ТРАНСГРАНИЧНЫХ ДЕНЕЖНЫХ ОБЯЗАТЕЛЬСТВАХ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Цифровая валюта Центрального банка Российской Федерации: правовые аспекты. II Финансово-правовой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форум :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Московский государственный юридический университет имени О. 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Москва, 2022. С. 59-63.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5.О ПРАВОВОЙ РЕГЛАМЕНТАЦИИ МЕЖДУНАРОДНЫХ ЦИФРОВЫХ ТОРГОВЫХ ТРАНЗАКЦИЙ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>: научные решения для профессиональной юридической деятельности. Сборник докладов IX Московского юридического форума. В 4-х частях. Москва, 2022. С. 275-279.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>6.ДЕНЕЖНЫЕ ОБЯЗАТЕЛЬСТВА В ДОГОВОРЕ МЕЖДУНАРОДНОЙ МОРСКОЙ ПЕРЕВОЗКИ ПАССАЖИРА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2022. С. 376-378.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7.О КОНВЕНЦИОННОМ РЕГУЛИРОВАНИИ ОХРАНИТЕЛЬНЫХ ДЕНЕЖНЫХ ОБЯЗАТЕЛЬСТВ В МОРСКИХ ДОГОВОРНЫХ ОТНОШЕНИЯХ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 сборнике: СОЦИАЛЬНО-ЭКОНОМИЧЕСКОЕ РАЗВИТИЕ И КАЧЕСТВО ПРАВОВОЙ СРЕДЫ. Сборник докладов VIII Московского юридического форума (XIX Международная научно-практическая конференция).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2021. С. 167-171.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8.МЕЖДУНАРОДНЫЕ ДОГОВОРЫ В ПОЛИСИСТЕМНОМ МЕХАНИЗМЕ РЕГУЛИРОВАНИЯ ТРАНСГРАНИЧНЫХ ЧАСТНЫХ ОТНОШЕНИЙ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книге: Новеллы Конституции Российской Федерации и задачи юридической науки. материалы конференций: в 5 ч. XVIII Международная научно-практическая конференция (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 и XXI Ежегодная международная научно-практическая конференция юридического факультета Московского государственного университета имени М.В. Ломоносова (МГУ) в рамках X Московской юридической недели. Москва, 2021. С. 125-128.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9.</w:t>
      </w:r>
      <w:r w:rsidRPr="00A32407">
        <w:rPr>
          <w:rFonts w:ascii="Times New Roman" w:hAnsi="Times New Roman" w:cs="Times New Roman"/>
          <w:sz w:val="28"/>
          <w:szCs w:val="28"/>
        </w:rPr>
        <w:t>О</w:t>
      </w:r>
      <w:r w:rsidRPr="00A32407">
        <w:rPr>
          <w:rFonts w:ascii="Times New Roman" w:hAnsi="Times New Roman" w:cs="Times New Roman"/>
          <w:sz w:val="28"/>
          <w:szCs w:val="28"/>
        </w:rPr>
        <w:t>БЕСПЕЧИТЕЛЬНЫЕ МЕРЫ ПО ДОГОВОРНЫМ ДЕНЕЖНЫМ ОБЯЗАТЕЛЬСТВАМ В МОРСКИХ ЧАСТНОПРАВОВЫХ ОТНОШЕНИЯХ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2021. № 3 (79). С. 112-118.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10.ПОНЯТИЕ «ЗАКОННОЕ ПЛАТЕЖНОЕ СРЕДСТВО» В ТРАНСГРАНИЧНЫХ ДЕНЕЖНЫХ ОБЯЗАТЕЛЬСТВАХ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>В книге: ПРАВА И ОБЯЗАННОСТИ ГРАЖДАНИНА И ПУБЛИЧНОЙ ВЛАСТИ: ПОИСК БАЛАНСА ИНТЕРЕСОВ. XVII Международная научно-практическая конференция (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 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</w:t>
      </w:r>
      <w:proofErr w:type="gramStart"/>
      <w:r w:rsidRPr="00A32407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A32407">
        <w:rPr>
          <w:rFonts w:ascii="Times New Roman" w:hAnsi="Times New Roman" w:cs="Times New Roman"/>
          <w:sz w:val="28"/>
          <w:szCs w:val="28"/>
        </w:rPr>
        <w:t xml:space="preserve"> Москва, 2020. С. 243-247.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11.СТРУКТУРНЫЕ ОСОБЕННОСТИ ТРАНСГРАНИЧНЫХ ВНЕДОГОВОРНЫХ ДЕНЕЖНЫХ ОБЯЗАТЕЛЬСТВ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книге: МОСКОВСКИЙ ЮРИДИЧЕСКИЙ ФОРУМ ОНЛАЙН 2020. Сборник тезисов докладов: в 4 частях. Москва, 2020. С. 126-128.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12.ТРАНСГРАНИЧНЫЕ ДОГОВОРНЫЕ ДЕНЕЖНЫЕ ОБЯЗАТЕЛЬСТВА: ОСОБЕННОСТИ СОДЕРЖАНИЯ И РЕГУЛИРОВАНИЯ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Журнал предпринимательского и корпоративного права. 2020. № 4 (20). С. 19-24.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13.РЕГУЛЯТИВНЫЕ ДЕНЕЖНЫЕ ОБЯЗАТЕЛЬСТВА В МЕЖДУНАРОДНОМ КОММЕРЧЕСКОМ ОБОРОТЕ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2019. № 10 (62). С. 71-81.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14.УНИФИКАЦИЯ И ГАРМОНИЗАЦИЯ В МЕЖДУНАРОДНОМ ЧАСТНОМ ПРАВЕ. ВОПРОСЫ ТЕОРИИ И ПРАКТИКИ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Алимова Я.О., Викторова Н.Н., Дмитриева Г.К.,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Савенко О.Е., Скачков Н.Г., Соболев И.Д., Терентьева Л.В., Шахназаров Б.А.,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Москва, 2016.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15.БАНКОВСКИЕ ПЛАТЕЖНЫЕ ОБЯЗАТЕЛЬСТВА ПО ТРАНСГРАНИЧНОЙ КОНТРГАРАНТИИ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2016. № 12 (28). С. 56-62.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>16.МЕЖДУНАРОДНОЕ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Викторова Н.Н.,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В.А., Кутузов И.М.,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М.В., Савенко О.Е., Скачков Н.Г., Терентьева Л.В., Шахназаров Б.А.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для бакалавров / Москва, 2015.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17.КОЛЛИЗИОННО-ПРАВОВОЕ РЕГУЛИРОВАНИЕ ТРАНСГРАНИЧНОЙ ЦЕССИИ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(МГЮА). 2015. № 2 (6). С. 84-90.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18.ОСОБЕННОСТИ РЕГУЛИРОВАНИЯ ТРАНСГРАНИЧНЫХ ФОРФЕЙТИНГОВЫХ ОТНОШЕНИЙ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 2014. С. 157-160.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19.</w:t>
      </w:r>
      <w:r w:rsidRPr="00A32407">
        <w:rPr>
          <w:rFonts w:ascii="Times New Roman" w:hAnsi="Times New Roman" w:cs="Times New Roman"/>
          <w:sz w:val="28"/>
          <w:szCs w:val="28"/>
        </w:rPr>
        <w:t>К</w:t>
      </w:r>
      <w:r w:rsidRPr="00A32407">
        <w:rPr>
          <w:rFonts w:ascii="Times New Roman" w:hAnsi="Times New Roman" w:cs="Times New Roman"/>
          <w:sz w:val="28"/>
          <w:szCs w:val="28"/>
        </w:rPr>
        <w:t>ОНТРГАРАНТИЙНЫЕ ОБЯЗАТЕЛЬСТВА В МЕЖДУНАРОДНОМ ЧАСТНОМ ПРАВЕ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(Русский закон). 2012. Т. 71. № 2. С. 373-381.</w:t>
      </w:r>
      <w:r w:rsidRPr="00A32407">
        <w:rPr>
          <w:rFonts w:ascii="Times New Roman" w:hAnsi="Times New Roman" w:cs="Times New Roman"/>
          <w:sz w:val="28"/>
          <w:szCs w:val="28"/>
        </w:rPr>
        <w:tab/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20.РАМБУРСНЫЕ ОБЯЗАТЕЛЬСТВА В АККРЕДИТИВНОЙ ФОРМЕ МЕЖДУНАРОДНЫХ РАСЧЕТОВ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Кутузов И.М.</w:t>
      </w:r>
    </w:p>
    <w:p w:rsidR="007E7E62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40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(Русский закон). 2011. Т. 70. № 6. С. 1188-1196.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21.</w:t>
      </w:r>
      <w:r w:rsidRPr="00A32407"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Дмитриева Г.К., Еремичев Е.Н., Кутузов И.М.,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О.В., Мамаев А.А., Скачков Н.Г., Стародубцев Г.С., Федосеева Г.Ю., Филимонова М.В.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Учебник / (3-е издание) Москва, 2010.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>22.МЕЖДУНАРОДНОЕ ЧАСТНОЕ ПРАВО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t xml:space="preserve">Ануфриева Л.П., </w:t>
      </w:r>
      <w:proofErr w:type="spellStart"/>
      <w:r w:rsidRPr="00A32407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A32407">
        <w:rPr>
          <w:rFonts w:ascii="Times New Roman" w:hAnsi="Times New Roman" w:cs="Times New Roman"/>
          <w:sz w:val="28"/>
          <w:szCs w:val="28"/>
        </w:rPr>
        <w:t xml:space="preserve"> К.А., Дмитриева Г.К., Кутузов И.М., Лебединец И.Н., Скачков Н.Г., Стародубцев Г.С., Федосеева Г.Ю.</w:t>
      </w:r>
    </w:p>
    <w:p w:rsidR="00A32407" w:rsidRPr="00A32407" w:rsidRDefault="00A32407" w:rsidP="00A32407">
      <w:pPr>
        <w:jc w:val="both"/>
        <w:rPr>
          <w:rFonts w:ascii="Times New Roman" w:hAnsi="Times New Roman" w:cs="Times New Roman"/>
          <w:sz w:val="28"/>
          <w:szCs w:val="28"/>
        </w:rPr>
      </w:pPr>
      <w:r w:rsidRPr="00A32407">
        <w:rPr>
          <w:rFonts w:ascii="Times New Roman" w:hAnsi="Times New Roman" w:cs="Times New Roman"/>
          <w:sz w:val="28"/>
          <w:szCs w:val="28"/>
        </w:rPr>
        <w:lastRenderedPageBreak/>
        <w:t>(2-е издание, дополненное и переработанное) Москва, 2004.</w:t>
      </w:r>
      <w:bookmarkEnd w:id="0"/>
    </w:p>
    <w:sectPr w:rsidR="00A32407" w:rsidRPr="00A3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7"/>
    <w:rsid w:val="007E7E62"/>
    <w:rsid w:val="00A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CD7D-525D-486A-9ECA-1FF6812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2023-08-28T21:31:00Z</dcterms:created>
  <dcterms:modified xsi:type="dcterms:W3CDTF">2023-08-28T21:35:00Z</dcterms:modified>
</cp:coreProperties>
</file>