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D48A2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  <w:r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EC571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</w:p>
    <w:p w14:paraId="77AEB1E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</w:t>
      </w:r>
    </w:p>
    <w:p w14:paraId="03EC0426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Инновационная юриспруденц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o:spt="1" alt="Инновационная юриспруденция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fMlnTSAAAAAwEAAA8AAAAAAAAAAQAgAAAAIgAAAGRycy9k&#10;b3ducmV2LnhtbFBLAQIUABQAAAAIAIdO4kBDKJvyQQIAAFAEAAAOAAAAAAAAAAEAIAAAACEBAABk&#10;cnMvZTJvRG9jLnhtbFBLBQYAAAAABgAGAFkBAADU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1067EA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Инновационная юриспруденц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Инновационная юриспруденция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8yWdNIAAAADAQAADwAA&#10;AAAAAAABACAAAAAiAAAAZHJzL2Rvd25yZXYueG1sUEsBAhQAFAAAAAgAh07iQIyt2DxVAgAAYQQA&#10;AA4AAAAAAAAAAQAgAAAAIQEAAGRycy9lMm9Eb2MueG1sUEsFBgAAAAAGAAYAWQEAAOg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0" distR="0">
            <wp:extent cx="3228340" cy="49269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3518" cy="497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8129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3DD18D2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Инновационная юриспруденция, под ред. Блажеева В.В., Мажориной М.В.: учебник. – Москва, Проспект, 2025, 912 с. </w:t>
      </w:r>
    </w:p>
    <w:p w14:paraId="440E09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Инновационная юриспруденц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o:spt="1" alt="Инновационная юриспруденция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zJZ00gAAAAMBAAAPAAAAAAAAAAEAIAAAACIAAABkcnMv&#10;ZG93bnJldi54bWxQSwECFAAUAAAACACHTuJAtsFvFUICAABQBAAADgAAAAAAAAABACAAAAAhAQAA&#10;ZHJzL2Uyb0RvYy54bWxQSwUGAAAAAAYABgBZAQAA1Q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Учебник представляет собой актуальное исследование трансформации правовой системы России в контексте новых вызовов XXI в. В условиях быстро меняющегося технологического уклада, глобальных социальных перемен и перехода к инновационному развитию в работе акцентируется внимание на необходимости создания нового правового поля, способного обеспечить научно-технологическое и социально-гуманитарное лидерство страны. Авторы подчеркивают, что традиционный отраслевой подход к праву не всегда надлежащим образом обеспечивает прорывное технологическое развитие, что обусловливает поиск новой правовой таксономии в совокупности таких кластерных областей, как социоправо, киберправо, техноправо, биоправо, экоправо, право устойчивого развития, геоправо, бизнес-право. Речь идет об эволюции правовой надстройки вслед за революцией социального базиса. Учебник построен в логике правовой инноватики и правового прогнозирования, технологизации права и его формирования для научно-технологического развития (права для НТР), а также выработки правовой рамки для устойчивого развития бизнеса и общества. </w:t>
      </w:r>
    </w:p>
    <w:p w14:paraId="699066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уделяется отдельным областям права, которые в наибольшей степени подвержены сегодня трансформации. В центре внимания становится миссия Московского государственного юридического университета имени О. Е. Кутафина (МГЮА) – «преобразуем среду, меняемся сами» – через генерацию инновационных знаний в области права, представляющих собой ценностные, гуманистические и правовые механизмы, позволяющие обеспечивать научно-технологическое и социально-гуманитарное лидерство России, моделировать и преображать социальную, информационную, природную, биологическую, пространственную и техносреду на национальном и глобальном уровнях. </w:t>
      </w:r>
    </w:p>
    <w:p w14:paraId="63C08E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учебнике подробно рассматривается концепция стратегического проекта университета «Инновационная юриспруденция», направленного на формирование новой парадигмы права и нового правового дискурса. Важной составляющей выступает трансформация юридической профессии, которая происходит под влиянием распространения информационно-коммуникационных технологий и которая осмыслена университетом с привлечением ресурсов многочисленных партнеров – лидеров профессионального юридического сообщества. Законодательство приведено по состоянию на 1 декабря 2024 г.</w:t>
      </w:r>
    </w:p>
    <w:p w14:paraId="6D2DB49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D771F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E077A61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38BCBD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118619E6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64F268D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5026512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454A7C8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1D7E9B9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F70FCE6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7D0710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62B5A34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56AE48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72FC49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0" distR="0">
            <wp:extent cx="3285490" cy="4838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4977" cy="486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6E78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E3CB88C">
      <w:pPr>
        <w:shd w:val="clear" w:color="auto" w:fill="FFFFFF"/>
        <w:spacing w:before="100" w:beforeAutospacing="1" w:after="0" w:afterAutospacing="1" w:line="240" w:lineRule="auto"/>
        <w:ind w:left="360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Канашевский В.А. Международное частное право: учебник. – Москва: Международные отношения, 2024, 1180 с.</w:t>
      </w:r>
    </w:p>
    <w:p w14:paraId="7A80CDF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Учебник представляет собой полный курс современного международного частного права.</w:t>
      </w:r>
    </w:p>
    <w:p w14:paraId="3A6A67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нем нашли отражение нормы федеральных законов, регулирующих отношения с иностранным элементом, – о контролируемых иностранных компаниях (2014), о юрисдикционных иммунитетах иностранного государства и его имущества (2015), об арбитраже (третейском разбирательстве) в России (2015), о локализации персональных данных на территории России (2015), о международных компаниях и международных фондах (2018), о деятельности иностранных лиц в сети «Интернет» на территории РФ (2021), о регулировании корпоративных отношений в экономически значимых организациях (2023) и других законов по состоянию на январь 2024 г.</w:t>
      </w:r>
    </w:p>
    <w:p w14:paraId="1F0BD3D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Автором проанализирована практика российских и иностранных государственных судов и арбитражных институтов по применению норм международного частного права, в том числе сформированная после начала СВО, включая практику применения статей 248.1 и 248.2 АПК РФ об исключительной юрисдикции арбитражных судов РФ. В учебнике также затрагиваются вопросы проводимой в стране и в мире политики деофшоризации, регулирования деятельности офшорных компаний и трастов.</w:t>
      </w:r>
    </w:p>
    <w:p w14:paraId="23C9D6E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внимание уделено анализу односторонних принудительных мер («санкций»), принятых недружественными странами против российских юридических, физических лиц и российского государства за период 2014–2024 гг., а также ответных мер (контрсанкций), принятых российскими властями против недружественных государств и иностранных лиц из указанных государств (Указы Президента РФ № 79, 81, 96, 126, 302, 416, 520, 618, 844 и др.).</w:t>
      </w:r>
    </w:p>
    <w:p w14:paraId="114593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Рекомендуется студентам, аспирантам, преподавателям юридических вузов и факультетов, специалистам-практикам, должностным лицам государственного аппарата, законодателям.</w:t>
      </w:r>
    </w:p>
    <w:p w14:paraId="35427CC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/>
      </w:r>
    </w:p>
    <w:p w14:paraId="03384F4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48E6BB5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6FEEB41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0" distR="0">
            <wp:extent cx="3573145" cy="4685030"/>
            <wp:effectExtent l="0" t="0" r="8255" b="1270"/>
            <wp:docPr id="1" name="Рисунок 1" descr="https://dk-spb.ru/media/books/192349/medium_900142630_34273d96-ab3d-11ef-b5e0-12970dda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dk-spb.ru/media/books/192349/medium_900142630_34273d96-ab3d-11ef-b5e0-12970dda39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209" cy="469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0339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58491D12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Шахназаров Б.А. Модернизация правовых и организационных режимов внешнеторговой деятельности в условиях геополитической трансформации:  монография. – Москва: Проспект, 2025, 256 с. </w:t>
      </w:r>
    </w:p>
    <w:p w14:paraId="07ED323B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 w14:paraId="31ACAA1F">
      <w:pPr>
        <w:shd w:val="clear" w:color="auto" w:fill="FFFFFF"/>
        <w:spacing w:after="0" w:line="270" w:lineRule="atLeast"/>
        <w:ind w:left="75" w:firstLine="633"/>
        <w:jc w:val="both"/>
        <w:rPr>
          <w:rFonts w:ascii="Times New Roman" w:hAnsi="Times New Roman" w:eastAsia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  <w:lang w:eastAsia="ru-RU"/>
        </w:rPr>
        <w:t>Настоящая монография посвящена совершенствованию правового регулирования отношений, складывающихся при осуществлении внешнеторговой деятельности, трансформации и модернизации правовых и организационных режимов ее осуществления.</w:t>
      </w:r>
    </w:p>
    <w:p w14:paraId="480732F0">
      <w:pPr>
        <w:shd w:val="clear" w:color="auto" w:fill="FFFFFF"/>
        <w:spacing w:after="0" w:line="270" w:lineRule="atLeast"/>
        <w:ind w:left="75" w:firstLine="633"/>
        <w:jc w:val="both"/>
        <w:rPr>
          <w:rFonts w:ascii="Times New Roman" w:hAnsi="Times New Roman" w:eastAsia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  <w:lang w:eastAsia="ru-RU"/>
        </w:rPr>
        <w:t>В современных условиях геополитической трансформации совершенствование правовых режимов внешнеторговой деятельности необходимо в целях стабилизации международной торговли, обеспечения устойчивости товарных рынков, а также устойчивого развития мировой экономики. В контексте современных вызовов совершенствуются инфраструктурные и организационные основы обеспечения внешнеторговой деятельности.</w:t>
      </w:r>
    </w:p>
    <w:p w14:paraId="573A0C8F">
      <w:pPr>
        <w:shd w:val="clear" w:color="auto" w:fill="FFFFFF"/>
        <w:spacing w:after="0" w:line="270" w:lineRule="atLeast"/>
        <w:ind w:left="75" w:firstLine="633"/>
        <w:jc w:val="both"/>
        <w:rPr>
          <w:rFonts w:ascii="Times New Roman" w:hAnsi="Times New Roman" w:eastAsia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  <w:lang w:eastAsia="ru-RU"/>
        </w:rPr>
        <w:t>Пандемия COVID-19, климатический кризис, стремительно развивающаяся санкционная риторика демонстрируют то, что современные международные отношения более взаимозависимы в экономическом, социальном, политическом и экологическом плане, чем когда-либо в истории: различные обстоятельства, происходящие в одной стране, оказывают влияние, иногда очень серьезное, на общества, окружающую среду и экономику других стран. Трансформация международных рынков товаров и услуг, новые логистические реалии и технологические изменения влияют на то, как государства, компании и отдельные лица осуществляют и регулируют внешнеэкономическую деятельность в целом, включая внешнюю торговлю товарами и услугами, капиталовложения и финансовые переводы.</w:t>
      </w:r>
    </w:p>
    <w:p w14:paraId="6900AEF3">
      <w:pPr>
        <w:shd w:val="clear" w:color="auto" w:fill="FFFFFF"/>
        <w:spacing w:after="0" w:line="270" w:lineRule="atLeast"/>
        <w:ind w:left="75" w:firstLine="633"/>
        <w:jc w:val="both"/>
        <w:rPr>
          <w:rFonts w:ascii="Times New Roman" w:hAnsi="Times New Roman" w:eastAsia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  <w:lang w:eastAsia="ru-RU"/>
        </w:rPr>
        <w:t>Эти изменения подчеркивают исключительную важность глобальных коллективных действий и права международной торговли, которое, в свою очередь, испытывает кризис. Правовое регулирование внешней торговли призвано решать современные глобальные проблемы, такие как управление глобальными цепочками поставок, урегулирование торговых споров, преодоление кризисов суверенного долга и стимулирование перехода к экономике с низким уровнем углеродного следа.</w:t>
      </w:r>
    </w:p>
    <w:p w14:paraId="5A449AC9">
      <w:pPr>
        <w:shd w:val="clear" w:color="auto" w:fill="FFFFFF"/>
        <w:spacing w:after="0" w:line="270" w:lineRule="atLeast"/>
        <w:ind w:left="75" w:firstLine="633"/>
        <w:jc w:val="both"/>
        <w:rPr>
          <w:rFonts w:ascii="Times New Roman" w:hAnsi="Times New Roman" w:eastAsia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  <w:lang w:eastAsia="ru-RU"/>
        </w:rPr>
        <w:t>Законодательство приведено по состоянию на 31 июля 2024 г.</w:t>
      </w:r>
    </w:p>
    <w:p w14:paraId="14F2EA30">
      <w:pPr>
        <w:shd w:val="clear" w:color="auto" w:fill="FFFFFF"/>
        <w:spacing w:after="0" w:line="270" w:lineRule="atLeast"/>
        <w:ind w:left="75" w:firstLine="633"/>
        <w:jc w:val="both"/>
        <w:rPr>
          <w:rFonts w:ascii="Times New Roman" w:hAnsi="Times New Roman" w:eastAsia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  <w:lang w:eastAsia="ru-RU"/>
        </w:rPr>
        <w:t>Монография разработана для обучающихся по программам подготовки юристов. Может быть использована обучающимися любых юридических вузов и факультетов, включая аспирантов, занимающихся научными исследованиями правового регулирования отношений в сфере международной торговли, внешнеэкономических отношений в целом. Настоящее издание будет полезно в практической деятельности юристов, связанной с правовым и организационным сопровождением, комплаенсом в сфере внешней торговли, разрешением международных торговых споров, а также должностным лицам органов исполнительной власти, законодателям, сотрудникам международных организаций, практикующим в сфере международной торговли и осуществляющим внешнеэкономическую деятельность в целом.</w:t>
      </w:r>
    </w:p>
    <w:p w14:paraId="460EECC2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459DA69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7E5944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/>
      </w:r>
    </w:p>
    <w:p w14:paraId="3D75B3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770EB0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1F67A7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17C4DCC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324225" cy="4986020"/>
            <wp:effectExtent l="0" t="0" r="0" b="5080"/>
            <wp:docPr id="6" name="Рисунок 6" descr="Правовой режим карбоновых полигонов и карбоновых ферм в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Правовой режим карбоновых полигонов и карбоновых ферм в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2584" cy="501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79FE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1A9D5ACD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shd w:val="clear" w:color="auto" w:fill="FFFFFF"/>
          <w:lang w:eastAsia="ru-RU"/>
        </w:rPr>
        <w:t xml:space="preserve">Правовой режим карбоновых полигонов и карбоновых ферм в Российской Федерации, под ред. Агафонова В.А.:  монография. - Москва: Проспект, 2024, 160 с. </w:t>
      </w:r>
    </w:p>
    <w:p w14:paraId="21B118DB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shd w:val="clear" w:color="auto" w:fill="FFFFFF"/>
          <w:lang w:eastAsia="ru-RU"/>
        </w:rPr>
      </w:pPr>
    </w:p>
    <w:p w14:paraId="22134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Предлагаемая монография посвящена актуальным теоретическим и практическим вопросам правового регулирования создания и функционирования в Российской Федерации сети карбоновых полигонов и карбоновых ферм. Авторами исследуется роль пилотного проекта Министерства науки и высшего образования Российской Федерации по созданию карбоновых полигонов и карбоновых ферм в системе государственного стратегического планирования климатической политики Российской Федерации. Доказывается его значение в обеспечении стратегических национальных приоритетов и защиты национальных экономических и экологических интересов Российской Федерации в соответствии с целями, принципами и задачами, предусмотренными Климатической доктриной Российской Федерации, утвержденной Указом Президента Российской Федерации от </w:t>
      </w:r>
      <w:r>
        <w:rPr>
          <w:rFonts w:ascii="Times New Roman" w:hAnsi="Times New Roman" w:cs="Times New Roman"/>
          <w:sz w:val="28"/>
          <w:szCs w:val="28"/>
        </w:rPr>
        <w:t>26.10.2023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№ 812. Выявляются </w:t>
      </w:r>
      <w:r>
        <w:rPr>
          <w:rFonts w:ascii="Times New Roman" w:hAnsi="Times New Roman" w:cs="Times New Roman"/>
          <w:sz w:val="28"/>
          <w:szCs w:val="28"/>
        </w:rPr>
        <w:t>эколого-правовые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>
        <w:rPr>
          <w:rFonts w:ascii="Times New Roman" w:hAnsi="Times New Roman" w:cs="Times New Roman"/>
          <w:sz w:val="28"/>
          <w:szCs w:val="28"/>
        </w:rPr>
        <w:t>земельно-правовые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>
        <w:rPr>
          <w:rFonts w:ascii="Times New Roman" w:hAnsi="Times New Roman" w:cs="Times New Roman"/>
          <w:sz w:val="28"/>
          <w:szCs w:val="28"/>
        </w:rPr>
        <w:t>аграрно-правовые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частноправовые, </w:t>
      </w:r>
      <w:r>
        <w:rPr>
          <w:rFonts w:ascii="Times New Roman" w:hAnsi="Times New Roman" w:cs="Times New Roman"/>
          <w:sz w:val="28"/>
          <w:szCs w:val="28"/>
        </w:rPr>
        <w:t>финансово-правовые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 криминологические аспекты создания и функционирования карбоновых полигонов и карбоновых ферм. В отдельной главе представлен Экологический атлас (карта) карбоновых полигонов и карбоновых ферм Российской Федерации. </w:t>
      </w:r>
    </w:p>
    <w:p w14:paraId="599A57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Нормативные акты используются по состоянию на 1 октября 2023 г. </w:t>
      </w:r>
    </w:p>
    <w:p w14:paraId="110C5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студентов высших учебных заведений, обучающихся по программам бакалавриата, специалитета, магистратуры, преподавателей юридических вузов, работников законодательной, исполнительной и судебной власти, а также для всех интересующихся вопросами правового обеспечения климатической повестки.</w:t>
      </w:r>
    </w:p>
    <w:p w14:paraId="222151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3535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Право устойчивого развития и ESG-стандарты. | Агафонов Вячеслав Борисович, Мажорина Мария Викторовна #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Право устойчивого развития и ESG-стандарты. | Агафонов Вячеслав Борисович, Мажорина Мария Викторовна #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B8yWdNIAAAADAQAADwAAAAAAAAABACAAAAAiAAAAZHJzL2Rvd25yZXYueG1s&#10;UEsBAhQAFAAAAAgAh07iQCK6TNepAgAA5wQAAA4AAAAAAAAAAQAgAAAAIQEAAGRycy9lMm9Eb2Mu&#10;eG1sUEsFBgAAAAAGAAYAWQEAADwG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0" distR="0">
            <wp:extent cx="3707765" cy="499110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0031" cy="500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5A79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A0BB0A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Style w:val="6"/>
          <w:rFonts w:ascii="Times New Roman" w:hAnsi="Times New Roman" w:cs="Times New Roman"/>
          <w:b/>
          <w:sz w:val="28"/>
          <w:szCs w:val="28"/>
          <w:shd w:val="clear" w:color="auto" w:fill="FFFFFF"/>
        </w:rPr>
        <w:t>Право устойчивого развития и ESG-стандарты, под ред.</w:t>
      </w:r>
      <w:r>
        <w:fldChar w:fldCharType="begin"/>
      </w:r>
      <w:r>
        <w:instrText xml:space="preserve"> HYPERLINK "https://www.ozon.ru/person/mazhorina-mariya-viktorovna-30434908/"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spacing w:val="3"/>
          <w:sz w:val="28"/>
          <w:szCs w:val="28"/>
          <w:lang w:eastAsia="ru-RU"/>
        </w:rPr>
        <w:t>Мажориной М.В., </w:t>
      </w:r>
      <w:r>
        <w:rPr>
          <w:rFonts w:ascii="Times New Roman" w:hAnsi="Times New Roman" w:eastAsia="Times New Roman" w:cs="Times New Roman"/>
          <w:b/>
          <w:spacing w:val="3"/>
          <w:sz w:val="28"/>
          <w:szCs w:val="28"/>
          <w:lang w:eastAsia="ru-RU"/>
        </w:rPr>
        <w:fldChar w:fldCharType="end"/>
      </w:r>
      <w:r>
        <w:fldChar w:fldCharType="begin"/>
      </w:r>
      <w:r>
        <w:instrText xml:space="preserve"> HYPERLINK "https://www.ozon.ru/person/shahnazarov-beniamin-aleksandrovich-20265648/"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spacing w:val="3"/>
          <w:sz w:val="28"/>
          <w:szCs w:val="28"/>
          <w:lang w:eastAsia="ru-RU"/>
        </w:rPr>
        <w:t xml:space="preserve">Шахназарова Б.А.: </w:t>
      </w:r>
      <w:r>
        <w:rPr>
          <w:rFonts w:ascii="Times New Roman" w:hAnsi="Times New Roman" w:eastAsia="Times New Roman" w:cs="Times New Roman"/>
          <w:b/>
          <w:spacing w:val="3"/>
          <w:sz w:val="28"/>
          <w:szCs w:val="28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b/>
          <w:spacing w:val="3"/>
          <w:sz w:val="28"/>
          <w:szCs w:val="28"/>
          <w:lang w:eastAsia="ru-RU"/>
        </w:rPr>
        <w:t>учебник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. – Москва: Проспект, 2024, 752 с.</w:t>
      </w:r>
    </w:p>
    <w:p w14:paraId="6D8477DD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DF755E5">
      <w:pPr>
        <w:shd w:val="clear" w:color="auto" w:fill="FFFFFF"/>
        <w:spacing w:after="0" w:line="240" w:lineRule="auto"/>
        <w:ind w:firstLine="708"/>
        <w:jc w:val="both"/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Учебник содержит комплексный научный и учебный материал, раскрывающий новое для юриспруденции явление – право устойчивого развития – через призму его межотраслевого характера. Книга включает аналитику по вопросам нормирования общественных отношений посредством ESG-стандартов. Это первый инновационный российский учебник, нацеленный на популяризацию данного научно-практического направления и формирование юридического взгляда на глобальный тренд, переопределяющий многие мировые процессы. </w:t>
      </w:r>
    </w:p>
    <w:p w14:paraId="64A6E85D">
      <w:pPr>
        <w:shd w:val="clear" w:color="auto" w:fill="FFFFFF"/>
        <w:spacing w:after="0" w:line="240" w:lineRule="auto"/>
        <w:ind w:firstLine="708"/>
        <w:jc w:val="both"/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Законодательство приведено по состоянию на 22 мая 2022 г. </w:t>
      </w:r>
    </w:p>
    <w:p w14:paraId="722D1E22">
      <w:pPr>
        <w:shd w:val="clear" w:color="auto" w:fill="FFFFFF"/>
        <w:spacing w:after="0" w:line="240" w:lineRule="auto"/>
        <w:ind w:firstLine="708"/>
        <w:jc w:val="both"/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  <w:t>Книга предназначена для студентов, аспирантов и преподавателей юридических вузов и факультетов, научных работников, законодателей, сотрудников органов государственной власти, международных организаций и корпораций, практикующих юристов, а также всех интересующихся «зеленой» повесткой, проблемами устойчивого развития и ESG.</w:t>
      </w:r>
    </w:p>
    <w:p w14:paraId="47EA0333">
      <w:pPr>
        <w:shd w:val="clear" w:color="auto" w:fill="FFFFFF"/>
        <w:spacing w:after="0" w:line="240" w:lineRule="auto"/>
        <w:ind w:firstLine="708"/>
        <w:jc w:val="both"/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  <w:t>Учебное пособие является ключевым ресурсом для понимания роли права в обеспечении устойчивого развития и внедрения ESG-стандартов в современном бизнесе и обществе. Книга рассматривает ключевые понятия и принципы устойчивого развития, а также роль ESG-факторов (Environmental, Social, Governance) в корпоративном управлении и финансовой деятельности.</w:t>
      </w:r>
    </w:p>
    <w:p w14:paraId="77899750">
      <w:pPr>
        <w:shd w:val="clear" w:color="auto" w:fill="FFFFFF"/>
        <w:spacing w:after="0" w:line="240" w:lineRule="auto"/>
        <w:ind w:firstLine="708"/>
        <w:jc w:val="both"/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  <w:t>В учебном пособии подробно рассматриваются международные и национальные нормативные акты, регулирующие сферу развития и требования ESG-стандартов. Особое внимание уделяется практическим аспектам внедрения ESG-подхода в деятельность предприятий и оценке их социальной и экологической ответственности. Это учебное пособие предназначено для студентов юридических и экономических специальностей, а также для практикующих юристов и бизнес-аналитиков. Законодательство приведено по состоянию на 22 мая 2022 г.</w:t>
      </w:r>
    </w:p>
    <w:p w14:paraId="747EC574">
      <w:pPr>
        <w:shd w:val="clear" w:color="auto" w:fill="FFFFFF"/>
        <w:spacing w:after="0" w:line="240" w:lineRule="auto"/>
        <w:jc w:val="both"/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E69FAD6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0" distR="0">
            <wp:extent cx="3681730" cy="48844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8156" cy="49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BBC9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69D8D1E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Style w:val="6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Правовое регулирование обеспечения экологической безопасности в Арктической зоне Российской Федерации, под ред.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Шпаковского Ю.Г., Мажориной М. В.: монография. – Москва: Проспект, 2024, 333 с.</w:t>
      </w:r>
    </w:p>
    <w:p w14:paraId="3DF97A7D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 w14:paraId="26DCE9A6">
      <w:pPr>
        <w:shd w:val="clear" w:color="auto" w:fill="FFFFFF"/>
        <w:spacing w:after="0" w:line="240" w:lineRule="auto"/>
        <w:ind w:firstLine="708"/>
        <w:jc w:val="both"/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  <w:t>Монография посвящена актуальным проблемам обеспечения экологической безопасности Арктического региона России в контексте решения задач устойчивого развития, а также совершенствования законодательства в рамках комплекса взаимосвязанных вопросов экологического, экономического, социального и институционального регулирования. В книге аргументированно показано, что на сегодняшний день стратегические меры обеспечения экологической безопасности Арктического региона находятся в непосредственной реализации инструментами права и рассматриваются в контексте общих проблем мировой политики.</w:t>
      </w:r>
    </w:p>
    <w:p w14:paraId="03FC4FCA">
      <w:pPr>
        <w:shd w:val="clear" w:color="auto" w:fill="FFFFFF"/>
        <w:spacing w:after="0" w:line="240" w:lineRule="auto"/>
        <w:ind w:firstLine="708"/>
        <w:jc w:val="both"/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  <w:t>Исследование теоретических и практических вопросов правового обеспечения экологической безопасности в Арктической зоне позволило выявить как общие проблемы, так и специфические особенности развития экологического законодательства в соответствии с принципами устойчивого развития. Законодательство приводится по состоянию на август 2023 г.</w:t>
      </w:r>
    </w:p>
    <w:p w14:paraId="018D9AA1">
      <w:pPr>
        <w:shd w:val="clear" w:color="auto" w:fill="FFFFFF"/>
        <w:spacing w:after="0" w:line="240" w:lineRule="auto"/>
        <w:ind w:firstLine="708"/>
        <w:jc w:val="both"/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  <w:t>Монография может быть полезна для студентов, аспирантов, преподавателей, научных и практических работников, занимающихся проблемами экологической безопасности Арктического региона в современных условиях, а также для специалистов федеральных, региональных и муниципальных органов управления, работников образовательных учреждений и центров повышения квалификации, подготовки и переподготовки кадров в рассматриваемой области.</w:t>
      </w:r>
    </w:p>
    <w:p w14:paraId="3071C65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502025" cy="5200650"/>
            <wp:effectExtent l="0" t="0" r="3175" b="0"/>
            <wp:docPr id="18" name="Рисунок 18" descr="Фото тов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Фото товар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699" cy="522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2C5C2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BF973C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BDADE95">
      <w:pPr>
        <w:shd w:val="clear" w:color="auto" w:fill="FFFFFF"/>
        <w:spacing w:after="0" w:line="330" w:lineRule="atLeast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Правовой комплаенс в условиях санкций, под ред. </w:t>
      </w:r>
      <w:r>
        <w:fldChar w:fldCharType="begin"/>
      </w:r>
      <w:r>
        <w:instrText xml:space="preserve"> HYPERLINK "https://www.labirint.ru/authors/179181/"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Шахназарова Б.А.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: монография. –  Москва: Проспект, 2024, 176 с.</w:t>
      </w:r>
    </w:p>
    <w:p w14:paraId="169A016A">
      <w:pPr>
        <w:shd w:val="clear" w:color="auto" w:fill="FFFFFF"/>
        <w:spacing w:after="0" w:line="330" w:lineRule="atLeast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 w14:paraId="2D35045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Настоящая монография посвящена основам и различным аспектам правового комплаенса в условиях санкций. Комплаенс выступает важнейшим правовым инструментом выявления, анализа, преодоления правовых последствий санкций и митигации санкционных рисков, соблюдения антисанкционных норм, представляя собой системный процесс по выстраиванию деятельности, направленной на учет требований антисанкционных норм, а также преодоление и минимизацию санкционных рисков. В работе в обозначенном контексте говорится именно о правовом комплаенсе, акцентируется внимание непосредственно на правовом значении комплаенс-процедур, рассматриваются особенности правового комплаенса в сфере различных отношений в условиях санкций. Законодательство приведено по состоянию на 11 августа 2023 г.</w:t>
      </w:r>
    </w:p>
    <w:p w14:paraId="65F561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Монография разработана для обучающихся по программам подготовки юристов. Может использоваться обучающимися любых юридических вузов и факультетов, включая аспирантов, занимающихся научными исследованиями правового регулирования отношений в сфере комплаенса. Настоящее издание будет полезно в практической деятельности юристов, экономистов, связанной с санкционным комплаенсом и due diligence, с приведением в соответствие и оценкой соответствия той или иной деятельности современным нормативным требованиям, а также должностным лицам органов исполнительной власти, законодателям, сотрудникам международных организаций, осуществляющим деятельность, связанную с правовым комплаенсом.</w:t>
      </w:r>
    </w:p>
    <w:p w14:paraId="119F57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8E7899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62350" cy="4800600"/>
            <wp:effectExtent l="0" t="0" r="0" b="0"/>
            <wp:docPr id="4" name="Рисунок 4" descr="D:\Данные\Desktop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Данные\Desktop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5400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9C69A9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Экоклиматические и ESG-споры. Мировая практика, под ред. Мажориной М.В., Шахназарова Б.А.:  монография. – Москва: Проспект, 2025, 144 с. </w:t>
      </w:r>
    </w:p>
    <w:p w14:paraId="3325A6B1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 w14:paraId="4678963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Настоящая монография посвящена анализу теории и практики экоклиматических и ESG-споров. В контексте активно формирующейся регламентации отношений устойчивого развития во всем мире проявляется и проблематика возникновения споров, связанных с нарушением нормативных требований, действующих в сфере устойчивого развития.</w:t>
      </w:r>
    </w:p>
    <w:p w14:paraId="1B28760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работе рассмотрены терминологические аспекты экоклиматических и ESG-споров, сформулирован понятийный аппарат. Дана общая характеристика современной мировой практики судебных разбирательств в связи с изменением климата. Исследованы проблематика охраны «зе-</w:t>
      </w:r>
      <w:r>
        <w:rPr>
          <w:rFonts w:ascii="Times New Roman" w:hAnsi="Times New Roman" w:cs="Times New Roman"/>
          <w:color w:val="212121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леной» интеллектуальной собственности и акты недобросовестной конкуренции, связанные с экологическими заявлениями, гринвошингом. Приведены классификации и рассмотрены особенности ESG-исков. Отдельное внимание уделено вопросам юрисдикции, арбитрабельности ESG-споров и «зеленому» арбитражу. Авторами проведен анализ различных видов ESG-исков и правоприменительной практики, исследованы ESG-иски, направленные на противодействие гринвошингу, ESG-иски в сфере раскрытия информации, ESG-иски в практике международного инвестиционного арбитража. Сформулированы рекомендации субъектам ESG-споров.</w:t>
      </w:r>
    </w:p>
    <w:p w14:paraId="7A43E80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Законодательство приведено по состоянию на 25 сентября 2024 г.</w:t>
      </w:r>
    </w:p>
    <w:p w14:paraId="1A28D1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Монография разработана для обучающихся по программам подготовки юристов. Может быть использована студентами любых юридических вузов и факультетов, включая аспирантов, занимающихся научными исследованиями правового регулирования отношений устойчивого развития, разрешения споров. Настоящее издание будет полезно в практической деятельности юристов, связанной с разрешением ESG-споров, обеспечением устойчивого развития, ESG-комплаенсом, ESG Due Diligence, а также должностным лицам органов государственной власти, законодателям, сотрудникам международных организаций, рейтинговым агентствам, осуществляющим деятельность в сфере права устойчивого развития.</w:t>
      </w:r>
    </w:p>
    <w:p w14:paraId="5E13E46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377069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7BD822E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504BA81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453E1C3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3CE1290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lang w:eastAsia="ru-RU"/>
        </w:rPr>
        <w:drawing>
          <wp:inline distT="0" distB="0" distL="0" distR="0">
            <wp:extent cx="3347720" cy="4762500"/>
            <wp:effectExtent l="0" t="0" r="5080" b="0"/>
            <wp:docPr id="513866540" name="Рисунок 13" descr="Обложка Терентьева Л.В., Канашевский В.А. Трансграничные отношения в киберпространстве: правовое регулирование, кибербезопасность, разрешение сп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66540" name="Рисунок 13" descr="Обложка Терентьева Л.В., Канашевский В.А. Трансграничные отношения в киберпространстве: правовое регулирование, кибербезопасность, разрешение спор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1626" cy="476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64B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348E3D9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</w:pPr>
    </w:p>
    <w:p w14:paraId="5B04775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Канашевский В.А.,  Шахназаров Б.А., Засемкова О.Ф. Терентьева Л.В. Трансграничные отношения в киберпространстве: правовое регулирование, кибербезопасность, разрешение споров : монография. – Москва : Проспект, 2024. – 136 с.</w:t>
      </w:r>
    </w:p>
    <w:p w14:paraId="4D16DA5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7DF728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5E6C102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монографии анализируются отдельные аспекты правового регулирования трансграничных частноправовых отношений в киберпространстве. Исследуются вопросы трансграничной передачи и оборота персональных данных, судебной юрисдикции при рассмотрении трансграничных споров в российских и зарубежных судах, арбитража и иных альтернативных способов разрешения споров, возникающих в метавселенной. Поднимается проблема переосмысления правовой охраны интеллектуальной собственности в киберпространстве, предлагается концепция реализации отношений по правовой охране интеллектуальной собственности в метавселенных и блокчейн-платформах. Законодательство приведено по состоянию на сентябрь 2023 г. Монография рассчитана на научных работников, преподавателей, аспирантов, студентов.</w:t>
      </w:r>
    </w:p>
    <w:p w14:paraId="264BA03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37AB62EC">
      <w:pPr>
        <w:shd w:val="clear" w:color="auto" w:fill="FFFFFF"/>
        <w:spacing w:after="0" w:line="240" w:lineRule="auto"/>
        <w:jc w:val="both"/>
        <w:rPr>
          <w:rStyle w:val="6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4FEC31D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C900A7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114675" cy="4671695"/>
            <wp:effectExtent l="0" t="0" r="0" b="0"/>
            <wp:docPr id="17" name="Рисунок 17" descr="https://img.knigamir.com/3dd/3dd637ebc6d1749f7bd648dab4f5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img.knigamir.com/3dd/3dd637ebc6d1749f7bd648dab4f5338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0533" cy="46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F979C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4E97FDA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shd w:val="clear" w:color="auto" w:fill="FFFFFF"/>
          <w:lang w:eastAsia="ru-RU"/>
        </w:rPr>
        <w:t>Гармонизация правового регулирования в Российской Федерации и в итальянской республике, под ред. Егоровой М.В.: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монография. – Москва: Проспект,</w:t>
      </w:r>
      <w:r>
        <w:rPr>
          <w:rFonts w:ascii="Times New Roman" w:hAnsi="Times New Roman" w:eastAsia="Times New Roman" w:cs="Times New Roman"/>
          <w:b/>
          <w:sz w:val="28"/>
          <w:szCs w:val="28"/>
          <w:shd w:val="clear" w:color="auto" w:fill="FFFFFF"/>
          <w:lang w:eastAsia="ru-RU"/>
        </w:rPr>
        <w:t xml:space="preserve"> 2024,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437 с.</w:t>
      </w:r>
    </w:p>
    <w:p w14:paraId="37EBFD6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 w14:paraId="73649E7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Монография посвящена вопросам гармонизации правового регулирования в новых условиях экономического и технологического развития. Авторы – известные ученые России и Италии в различных отраслях права. В работе подробно рассмотрены проблемы международного сотрудничества и стратегического партнерства, а также интеграции устойчивого развития в законодательство России и Италии. Особое внимание уделено инновационным направлениям правового регулирования, включая адаптацию законодательства в период пандемии коронавируса, внедрение цифровых технологий в практическую юриспруденцию, совершенствование системы публичной власти и правопорядка в России и Италии. </w:t>
      </w:r>
    </w:p>
    <w:p w14:paraId="76215EA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Книга подготовлена авторами по итогам международных научных мероприятий, прошедших в Московском государственном юридическом университете имени О. Е. Кутафина (МГЮА) в рамках IV Международного юридического форума «Современные проблемы права и экономики в Европе и Азии», который состоялся 12–15 сентября 2021 г., и Зимней школы зарубежного права «Право и социальное государство в условиях глобальных климатических изменений», которая состоялась 19–20 января 2022 г. </w:t>
      </w:r>
    </w:p>
    <w:p w14:paraId="793A0C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Законодательство приведено по состоянию на 14 июня 2022 г. Предназначена для юристов, занимающихся законотворческой деятельностью, правоприменителей, судей, адвокатов, а также студентов юридических вузов, интересующихся проблемами права России и Италии.</w:t>
      </w:r>
    </w:p>
    <w:p w14:paraId="187EB04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</w:p>
    <w:p w14:paraId="4F3D226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  <w:r>
        <w:rPr>
          <w:lang w:eastAsia="ru-RU"/>
        </w:rPr>
        <w:drawing>
          <wp:inline distT="0" distB="0" distL="0" distR="0">
            <wp:extent cx="2771775" cy="3693160"/>
            <wp:effectExtent l="0" t="0" r="0" b="2540"/>
            <wp:docPr id="5" name="Рисунок 5" descr="https://static1.bgshop.ru/imagehandler.ashx?filename=10985981.jpg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static1.bgshop.ru/imagehandler.ashx?filename=10985981.jpg&amp;width=4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795" cy="371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250D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pacing w:val="-1"/>
          <w:sz w:val="28"/>
          <w:szCs w:val="28"/>
          <w:shd w:val="clear" w:color="auto" w:fill="FFFFFF"/>
        </w:rPr>
      </w:pPr>
    </w:p>
    <w:p w14:paraId="1DD2BA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  <w:shd w:val="clear" w:color="auto" w:fill="FFFFFF"/>
        </w:rPr>
        <w:t>Викторова Н.Н. Устойчивое инвестирование в Российской Федерации: монография. -М.: Проспект, 2024. 72 с.</w:t>
      </w:r>
    </w:p>
    <w:p w14:paraId="383827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</w:p>
    <w:p w14:paraId="58AD17F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 монографии рассмотрены отдельные аспекты правового регулирования трансграничных частноправовых отношений в сфере устойчивого инвестирования. Исследованы понятия устойчивых, «зеленых», ответственных инвестиций, представлена практика устойчивого инвестирования в России и за рубежом, проанализировано российское и иностранное законодательство в сфере устойчивого инвестирования, показаны особенности составления ответственных инвестиционных контрактов. Поднята проблема применения принципов ESG при инвестировании в России. Законодательство приведено по состоянию на 1 сентября 2023 г. Монография рассчитана на научных работников, преподавателей, аспирантов, студентов.</w:t>
      </w:r>
    </w:p>
    <w:p w14:paraId="00C243B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08FE0C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1ED09ED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4006332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777490" cy="3703320"/>
            <wp:effectExtent l="0" t="0" r="3810" b="0"/>
            <wp:docPr id="2607221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22153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048" cy="370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89CD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 w14:paraId="2AFE977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4051D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Терентьева Л.В.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Концепция управления киберпространством в целях устойчивого развития: монография. -М.: Проспект, 2024. 88 с.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63A10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монографии исследуются модели управления киберпространством — мультистейкхолдеризма и многостороннего управления. Выявляется взаимообусловленность концепций управления и концепций суверенитета, формулируются определение и условия проявления суверенитета и юрисдикции государства в киберпространстве. Законодательство приведено по состоянию на 31 августа 2023 г. Монография рассчитана на научных работников, преподавателей, аспирантов, студентов.</w:t>
      </w:r>
    </w:p>
    <w:bookmarkEnd w:id="0"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6D7"/>
    <w:rsid w:val="00081325"/>
    <w:rsid w:val="000C122F"/>
    <w:rsid w:val="000F3074"/>
    <w:rsid w:val="00345644"/>
    <w:rsid w:val="003B29E3"/>
    <w:rsid w:val="004D60C8"/>
    <w:rsid w:val="005644A3"/>
    <w:rsid w:val="005C648C"/>
    <w:rsid w:val="006A5943"/>
    <w:rsid w:val="006F2B9F"/>
    <w:rsid w:val="0082216E"/>
    <w:rsid w:val="008F00DC"/>
    <w:rsid w:val="00967C07"/>
    <w:rsid w:val="009956D7"/>
    <w:rsid w:val="00A97D99"/>
    <w:rsid w:val="00AC1B60"/>
    <w:rsid w:val="00B6198A"/>
    <w:rsid w:val="00CA0CC2"/>
    <w:rsid w:val="00D43598"/>
    <w:rsid w:val="00F47C67"/>
    <w:rsid w:val="00FC695A"/>
    <w:rsid w:val="00FD3A2E"/>
    <w:rsid w:val="1BE7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6">
    <w:name w:val="ra-g3"/>
    <w:basedOn w:val="2"/>
    <w:qFormat/>
    <w:uiPriority w:val="0"/>
  </w:style>
  <w:style w:type="character" w:customStyle="1" w:styleId="7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2184</Words>
  <Characters>17286</Characters>
  <Lines>140</Lines>
  <Paragraphs>39</Paragraphs>
  <TotalTime>7</TotalTime>
  <ScaleCrop>false</ScaleCrop>
  <LinksUpToDate>false</LinksUpToDate>
  <CharactersWithSpaces>19443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2025-02-28T13:08:00Z</dcterms:created>
  <dc:creator>Учетная запись Майкрософт</dc:creator>
  <cp:lastModifiedBy>user</cp:lastModifiedBy>
  <dcterms:modified xsi:type="dcterms:W3CDTF">2026-05-03T18:51:18Z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1049-12.1.0.25862</vt:lpwstr>
  </property>
  <property fmtid="{D5CDD505-2E9C-101B-9397-08002B2CF9AE}" pid="3" name="ICV">
    <vt:lpwstr>A519F079ABFA45F58181E5A93A832709_13</vt:lpwstr>
  </property>
</Properties>
</file>