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CF97" w14:textId="209D3732" w:rsidR="00DE0433" w:rsidRPr="004162B0" w:rsidRDefault="004162B0" w:rsidP="00DE0433">
      <w:pPr>
        <w:spacing w:after="0" w:line="240" w:lineRule="auto"/>
        <w:jc w:val="center"/>
        <w:outlineLvl w:val="0"/>
        <w:rPr>
          <w:rFonts w:ascii="Times New Roman" w:eastAsia="Times New Roman" w:hAnsi="Times New Roman" w:cs="Times New Roman"/>
          <w:b/>
          <w:bCs/>
          <w:color w:val="000000"/>
          <w:spacing w:val="-1"/>
          <w:sz w:val="28"/>
          <w:szCs w:val="28"/>
          <w:lang w:eastAsia="ru-RU"/>
        </w:rPr>
      </w:pPr>
      <w:r w:rsidRPr="004162B0">
        <w:rPr>
          <w:rFonts w:ascii="Times New Roman" w:eastAsia="Times New Roman" w:hAnsi="Times New Roman" w:cs="Times New Roman"/>
          <w:b/>
          <w:bCs/>
          <w:color w:val="000000"/>
          <w:spacing w:val="-1"/>
          <w:sz w:val="28"/>
          <w:szCs w:val="28"/>
          <w:lang w:eastAsia="ru-RU"/>
        </w:rPr>
        <w:t>HISTORY OF STATE AND LAW OF RUSSIA</w:t>
      </w:r>
    </w:p>
    <w:p w14:paraId="4A5B38A1" w14:textId="77777777" w:rsidR="004162B0" w:rsidRPr="004162B0" w:rsidRDefault="004162B0" w:rsidP="00DE0433">
      <w:pPr>
        <w:spacing w:after="0" w:line="240" w:lineRule="auto"/>
        <w:jc w:val="center"/>
        <w:outlineLvl w:val="0"/>
        <w:rPr>
          <w:rFonts w:ascii="Times New Roman" w:eastAsia="Times New Roman" w:hAnsi="Times New Roman" w:cs="Times New Roman"/>
          <w:b/>
          <w:bCs/>
          <w:color w:val="000000"/>
          <w:spacing w:val="-1"/>
          <w:sz w:val="28"/>
          <w:szCs w:val="28"/>
          <w:lang w:eastAsia="ru-RU"/>
        </w:rPr>
      </w:pPr>
    </w:p>
    <w:p w14:paraId="326ECE4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 The subject of the history of the state and law of Russia, methodology, tasks, historiography of the discipline.</w:t>
      </w:r>
    </w:p>
    <w:p w14:paraId="5FED82A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 Periodization of the history of the Russian state and law.</w:t>
      </w:r>
    </w:p>
    <w:p w14:paraId="35B9B48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 The formation of the ancient Russian feudal state. The Norman theory.</w:t>
      </w:r>
    </w:p>
    <w:p w14:paraId="304F8EEA"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 The emergence of statehood among the Eastern Slavs. Military democracy. Unification of proto-states into a single entity.</w:t>
      </w:r>
    </w:p>
    <w:p w14:paraId="772A61C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5. </w:t>
      </w:r>
      <w:proofErr w:type="spellStart"/>
      <w:r w:rsidRPr="004162B0">
        <w:rPr>
          <w:rStyle w:val="90"/>
          <w:rFonts w:eastAsiaTheme="minorHAnsi"/>
          <w:lang w:val="en-US"/>
        </w:rPr>
        <w:t>Kievan</w:t>
      </w:r>
      <w:proofErr w:type="spellEnd"/>
      <w:r w:rsidRPr="004162B0">
        <w:rPr>
          <w:rStyle w:val="90"/>
          <w:rFonts w:eastAsiaTheme="minorHAnsi"/>
          <w:lang w:val="en-US"/>
        </w:rPr>
        <w:t xml:space="preserve"> Rus as an early feudal monarchy. Organization of central and local government.</w:t>
      </w:r>
    </w:p>
    <w:p w14:paraId="2FF4EC2D"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6. Features of the state structure of </w:t>
      </w:r>
      <w:proofErr w:type="spellStart"/>
      <w:r w:rsidRPr="004162B0">
        <w:rPr>
          <w:rStyle w:val="90"/>
          <w:rFonts w:eastAsiaTheme="minorHAnsi"/>
          <w:lang w:val="en-US"/>
        </w:rPr>
        <w:t>Kievan</w:t>
      </w:r>
      <w:proofErr w:type="spellEnd"/>
      <w:r w:rsidRPr="004162B0">
        <w:rPr>
          <w:rStyle w:val="90"/>
          <w:rFonts w:eastAsiaTheme="minorHAnsi"/>
          <w:lang w:val="en-US"/>
        </w:rPr>
        <w:t xml:space="preserve"> Rus.</w:t>
      </w:r>
    </w:p>
    <w:p w14:paraId="621543B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 The formation of ancient Russian law, its main sources.</w:t>
      </w:r>
    </w:p>
    <w:p w14:paraId="64D3238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 Sources of Ancient Russian law: legal custom and judicial practice.</w:t>
      </w:r>
    </w:p>
    <w:p w14:paraId="1308169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9. Princely legislation as a source of law in Ancient Russia. Church regulations of the Russian princes. </w:t>
      </w:r>
    </w:p>
    <w:p w14:paraId="385873E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10. The contract as a source of the law of Ancient Russia.</w:t>
      </w:r>
    </w:p>
    <w:p w14:paraId="346444B5"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11. Church organization and jurisdiction in </w:t>
      </w:r>
      <w:proofErr w:type="spellStart"/>
      <w:r w:rsidRPr="004162B0">
        <w:rPr>
          <w:rStyle w:val="90"/>
          <w:rFonts w:eastAsiaTheme="minorHAnsi"/>
          <w:lang w:val="en-US"/>
        </w:rPr>
        <w:t>Kievan</w:t>
      </w:r>
      <w:proofErr w:type="spellEnd"/>
      <w:r w:rsidRPr="004162B0">
        <w:rPr>
          <w:rStyle w:val="90"/>
          <w:rFonts w:eastAsiaTheme="minorHAnsi"/>
          <w:lang w:val="en-US"/>
        </w:rPr>
        <w:t xml:space="preserve"> Rus. The reception of Byzantine law.</w:t>
      </w:r>
    </w:p>
    <w:p w14:paraId="05ACA60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12. Russian Truth: sources, system, editorial offices. The point of view of historians about the origin of the Russian Truth.</w:t>
      </w:r>
    </w:p>
    <w:p w14:paraId="4B6A1EF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13. Russian Truth: the legal status of the population of Ancient Russia.</w:t>
      </w:r>
    </w:p>
    <w:p w14:paraId="41324A4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14. Russian Truth: property, obligation, inheritance law.</w:t>
      </w:r>
    </w:p>
    <w:p w14:paraId="4157BB1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15. Russian Truth: the concept, composition, types of crimes; goals and types of punishments.</w:t>
      </w:r>
    </w:p>
    <w:p w14:paraId="5DB1378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16. Russian Truth: judicial process; types of judicial evidence.</w:t>
      </w:r>
    </w:p>
    <w:p w14:paraId="72ABE52C"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17. Prerequisites of feudal fragmentation in Russia, meaning, consequences.</w:t>
      </w:r>
    </w:p>
    <w:p w14:paraId="4783AC7D"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18. Russian principalities in conditions of political fragmentation (Kiev, Vladimir-</w:t>
      </w:r>
      <w:proofErr w:type="spellStart"/>
      <w:r w:rsidRPr="004162B0">
        <w:rPr>
          <w:rStyle w:val="90"/>
          <w:rFonts w:eastAsiaTheme="minorHAnsi"/>
          <w:lang w:val="en-US"/>
        </w:rPr>
        <w:t>Suzdal</w:t>
      </w:r>
      <w:proofErr w:type="spellEnd"/>
      <w:r w:rsidRPr="004162B0">
        <w:rPr>
          <w:rStyle w:val="90"/>
          <w:rFonts w:eastAsiaTheme="minorHAnsi"/>
          <w:lang w:val="en-US"/>
        </w:rPr>
        <w:t>, Galicia-</w:t>
      </w:r>
      <w:proofErr w:type="spellStart"/>
      <w:r w:rsidRPr="004162B0">
        <w:rPr>
          <w:rStyle w:val="90"/>
          <w:rFonts w:eastAsiaTheme="minorHAnsi"/>
          <w:lang w:val="en-US"/>
        </w:rPr>
        <w:t>Volhynia</w:t>
      </w:r>
      <w:proofErr w:type="spellEnd"/>
      <w:r w:rsidRPr="004162B0">
        <w:rPr>
          <w:rStyle w:val="90"/>
          <w:rFonts w:eastAsiaTheme="minorHAnsi"/>
          <w:lang w:val="en-US"/>
        </w:rPr>
        <w:t>). Features of feudal relations, the development of princely power.</w:t>
      </w:r>
    </w:p>
    <w:p w14:paraId="217D19A5"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19. The state and social system of Novgorod and Pskov in the XII-XV centuries.</w:t>
      </w:r>
    </w:p>
    <w:p w14:paraId="574D877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20. The development of the legal system in the specific period. Peculiarities of law in the north-west of Russia. The Novgorod Letter of Judgement.</w:t>
      </w:r>
    </w:p>
    <w:p w14:paraId="5451ABE1"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21. Pskov judicial charter: origin, sources, system.</w:t>
      </w:r>
    </w:p>
    <w:p w14:paraId="5C3BA88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22. Pskov judicial charter: property, obligation, inheritance law.</w:t>
      </w:r>
    </w:p>
    <w:p w14:paraId="77BE5D4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23. Pskov judicial charter: concept, composition, types of crimes; goals and types of punishments.</w:t>
      </w:r>
    </w:p>
    <w:p w14:paraId="5D0D32C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24. Pskov judicial charter: judicial system, legal proceedings, types of judicial evidence.</w:t>
      </w:r>
    </w:p>
    <w:p w14:paraId="5E61C8F1"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25. The formation of the Russian centralized state: prerequisites and stages.</w:t>
      </w:r>
    </w:p>
    <w:p w14:paraId="6866BEC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26. The Moscow Principality in the XII—XIV centuries, the strengthening of the power of the Moscow princes.</w:t>
      </w:r>
    </w:p>
    <w:p w14:paraId="48B1FAD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lastRenderedPageBreak/>
        <w:t>27. Features of the socio-economic and political development of the Moscow Principality in the 12th - 15th centuries. The new state ideology.</w:t>
      </w:r>
    </w:p>
    <w:p w14:paraId="6EEFD69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28. The Golden Horde and the Russian Principalities.</w:t>
      </w:r>
    </w:p>
    <w:p w14:paraId="0207BD8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29. State centralization of the 14th—15th centuries. Transformation of the political system and administrative bodies. Feeding. Boyar's doom.</w:t>
      </w:r>
    </w:p>
    <w:p w14:paraId="7DFE2B05"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30. The development of Russian feudal law in the XIV – XVI centuries. Sources of law. Forms of legislation, private acts.</w:t>
      </w:r>
    </w:p>
    <w:p w14:paraId="1AC5564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31. Judicial codes of the XV—XVI centuries: sources, development, systematics of legal norms.</w:t>
      </w:r>
    </w:p>
    <w:p w14:paraId="1F8ADAB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32. Judicial codes of the XV—XVI centuries: the concept, composition, types of crimes; goals and types of punishments.</w:t>
      </w:r>
    </w:p>
    <w:p w14:paraId="2CF4CBC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33. Judicial officers of the XV—XVI centuries: judicial system, judicial proceedings, types of judicial evidence.</w:t>
      </w:r>
    </w:p>
    <w:p w14:paraId="4639BD4C"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34. Judicial codes of the XV – XVI centuries: property, obligation, inheritance law.</w:t>
      </w:r>
    </w:p>
    <w:p w14:paraId="301FF51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35. </w:t>
      </w:r>
      <w:proofErr w:type="spellStart"/>
      <w:r w:rsidRPr="004162B0">
        <w:rPr>
          <w:rStyle w:val="90"/>
          <w:rFonts w:eastAsiaTheme="minorHAnsi"/>
          <w:lang w:val="en-US"/>
        </w:rPr>
        <w:t>Stoglav</w:t>
      </w:r>
      <w:proofErr w:type="spellEnd"/>
      <w:r w:rsidRPr="004162B0">
        <w:rPr>
          <w:rStyle w:val="90"/>
          <w:rFonts w:eastAsiaTheme="minorHAnsi"/>
          <w:lang w:val="en-US"/>
        </w:rPr>
        <w:t xml:space="preserve"> 1551 Marriage and family law.</w:t>
      </w:r>
    </w:p>
    <w:p w14:paraId="5509223B"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36. The stages of the formation of serfdom in the XV—XVII centuries.</w:t>
      </w:r>
    </w:p>
    <w:p w14:paraId="5A730CD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37. The estate system of Russia in the XV—XVII centuries: feudal aristocracy; service estates; legal categories of the peasantry; servitude and its legal evolution.</w:t>
      </w:r>
    </w:p>
    <w:p w14:paraId="0AC0AB6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38. State reforms in the middle of the XVI century: zemstvo, provincial, military-financial. Oprichnina.</w:t>
      </w:r>
    </w:p>
    <w:p w14:paraId="1C7BC48B"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39. Socio-economic, political prerequisites of the estate-representative monarchy in Russia.</w:t>
      </w:r>
    </w:p>
    <w:p w14:paraId="532FB83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40. The state system of the estate-representative monarchy. The power of the king. Zemsky cathedrals. The Boyar Duma. Orders.</w:t>
      </w:r>
    </w:p>
    <w:p w14:paraId="68BB579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41. Zemstvo councils in the XVI—XVII centuries: composition, types, order of activity.</w:t>
      </w:r>
    </w:p>
    <w:p w14:paraId="761C49D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42. The Boyar Duma in the XVI – XVII centuries: composition, competence, order of activity. Development of the command management system.</w:t>
      </w:r>
    </w:p>
    <w:p w14:paraId="3649C55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43. Church organization and church law of the XV-XVII centuries.</w:t>
      </w:r>
    </w:p>
    <w:p w14:paraId="4723E3A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44. Russian statehood at the end of the XVI — beginning of the XVII century. The time of Troubles.</w:t>
      </w:r>
    </w:p>
    <w:p w14:paraId="46E284F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45. The organization of local government in the XV - XVII centuries.</w:t>
      </w:r>
    </w:p>
    <w:p w14:paraId="7B12FF9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46. Prerequisites for the creation, development, and historical significance of the 1649 Cathedral Code.</w:t>
      </w:r>
    </w:p>
    <w:p w14:paraId="22E54A1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47. The Cathedral Code of 1649: sources, structure.</w:t>
      </w:r>
    </w:p>
    <w:p w14:paraId="5157E0D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48. The Cathedral Code of 1649: the legal status of the population.</w:t>
      </w:r>
    </w:p>
    <w:p w14:paraId="335A8B4D"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49. The Cathedral Code of 1649: the development of the law of feudal property. Fiefdoms, estates.</w:t>
      </w:r>
    </w:p>
    <w:p w14:paraId="339EDCF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50. The Cathedral Code of 1649: compulsory, hereditary, marriage and family law. </w:t>
      </w:r>
    </w:p>
    <w:p w14:paraId="708FE15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lastRenderedPageBreak/>
        <w:t>51. The Cathedral Code of 1649: the concept, composition, types of crimes; goals and types of punishments.</w:t>
      </w:r>
    </w:p>
    <w:p w14:paraId="5AC3EEB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52. The Cathedral Code of 1649: the judicial process, the system of evidence.</w:t>
      </w:r>
    </w:p>
    <w:p w14:paraId="29A9B9EC"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53. The formation of the absolute monarchy in Russia. Prerequisites, legislative design, ideology of absolutism.</w:t>
      </w:r>
    </w:p>
    <w:p w14:paraId="6F4E6B9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54. Features and stages of the absolute monarchy in Russia.</w:t>
      </w:r>
    </w:p>
    <w:p w14:paraId="2E82B6C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55. State reforms of the first quarter of the XVIII century. The Senate, colleges, and Synod.</w:t>
      </w:r>
    </w:p>
    <w:p w14:paraId="67A9F2C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56. Formation and development of the system of law enforcement agencies in the XVIII century.</w:t>
      </w:r>
    </w:p>
    <w:p w14:paraId="7DD3FFB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57. Changes in the legal status of the Russian Orthodox Church (XVIII-the first half of the XIX centuries).</w:t>
      </w:r>
    </w:p>
    <w:p w14:paraId="490591C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58. Regional reforms of the first quarter of the XVIII century. Development of urban self-government.</w:t>
      </w:r>
    </w:p>
    <w:p w14:paraId="75B7579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59. The development of the state system in the 2nd quarter of the XVIII century. The Supreme Privy Council. The Cabinet of Ministers. Reorganization of the Senate.</w:t>
      </w:r>
    </w:p>
    <w:p w14:paraId="15A807D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60. "Enlightened absolutism" in Russia. State reforms and legislative activity of Catherine II. </w:t>
      </w:r>
    </w:p>
    <w:p w14:paraId="6A41576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61. Provincial reform of 1775. Judicial and police reforms.</w:t>
      </w:r>
    </w:p>
    <w:p w14:paraId="67C3399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62. State reforms and legislative activity of Paul I.</w:t>
      </w:r>
    </w:p>
    <w:p w14:paraId="4785965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63. The development of the Russian state system in the first quarter of the 19th century. M. M. </w:t>
      </w:r>
      <w:proofErr w:type="spellStart"/>
      <w:r w:rsidRPr="004162B0">
        <w:rPr>
          <w:rStyle w:val="90"/>
          <w:rFonts w:eastAsiaTheme="minorHAnsi"/>
          <w:lang w:val="en-US"/>
        </w:rPr>
        <w:t>Speransky's</w:t>
      </w:r>
      <w:proofErr w:type="spellEnd"/>
      <w:r w:rsidRPr="004162B0">
        <w:rPr>
          <w:rStyle w:val="90"/>
          <w:rFonts w:eastAsiaTheme="minorHAnsi"/>
          <w:lang w:val="en-US"/>
        </w:rPr>
        <w:t xml:space="preserve"> activity.</w:t>
      </w:r>
    </w:p>
    <w:p w14:paraId="6AE5A02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64. The development of the Russian state system in the second quarter-the middle of the 19th century</w:t>
      </w:r>
    </w:p>
    <w:p w14:paraId="063E17D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65.The concept of estate. Features of Russia's social system in the first half of the 18th century</w:t>
      </w:r>
    </w:p>
    <w:p w14:paraId="17256FF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66. The development of the estate system in the second half of the 18th century. Charters granted to the nobility and cities in 1785</w:t>
      </w:r>
    </w:p>
    <w:p w14:paraId="12444C6A"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67. Legal categories of the peasantry. Legislation on peasants of the XVIII – first half of the XIX centuries.</w:t>
      </w:r>
    </w:p>
    <w:p w14:paraId="61344C8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68. The development of law in the XVIII century: the forms of legislative acts, the formation of sectoral legislation. Civil, administrative, and financial law. </w:t>
      </w:r>
    </w:p>
    <w:p w14:paraId="2E67F47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69. The development of criminal law in the first quarter of the XVIII century.</w:t>
      </w:r>
    </w:p>
    <w:p w14:paraId="6519450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70. The development of judicial procedure law in the first quarter of the 18th century.</w:t>
      </w:r>
    </w:p>
    <w:p w14:paraId="1579FD4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71. Attempts at codification in the XVIII century. The laid commission of Catherine II.</w:t>
      </w:r>
    </w:p>
    <w:p w14:paraId="03F75210"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72. Codification of Russian law in the first half of the 19th century.</w:t>
      </w:r>
    </w:p>
    <w:p w14:paraId="4213D02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73. The development of criminal law in the first half of the 19th century</w:t>
      </w:r>
    </w:p>
    <w:p w14:paraId="0D26608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74. Bourgeois reforms of the 60–70s of the 19th century. Prerequisites, main directions of reforms.</w:t>
      </w:r>
    </w:p>
    <w:p w14:paraId="145229DC"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lastRenderedPageBreak/>
        <w:t>75. The peasant reform of 1861 Preparation, legislative acts. The main stages and principles of peasant liberation.</w:t>
      </w:r>
    </w:p>
    <w:p w14:paraId="2F1C985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76. Judicial reform of 1864. Judicial statutes. Ship management, ship production.</w:t>
      </w:r>
    </w:p>
    <w:p w14:paraId="770D1D0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77. The Zemstvo reform of 1864</w:t>
      </w:r>
    </w:p>
    <w:p w14:paraId="4D1F135F"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78. The city reform of 1870</w:t>
      </w:r>
    </w:p>
    <w:p w14:paraId="3C36F32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79. Counter-reforms of the 80-90s of the XIX century: prerequisites, main directions. "Political conservatism" of the late 19th century.</w:t>
      </w:r>
    </w:p>
    <w:p w14:paraId="231B48F5"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80. The formation of a constitutional monarchy in Russia. Prerequisites, stages. The State Duma. The State Council. The Council of Ministers. The Law on Civil liberties.</w:t>
      </w:r>
    </w:p>
    <w:p w14:paraId="68CAA96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81. Basic State Laws of 1906</w:t>
      </w:r>
    </w:p>
    <w:p w14:paraId="41D1E2C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82. The State Duma in Russia 1906-1917. Legislative activity, reasons for dissolution.</w:t>
      </w:r>
    </w:p>
    <w:p w14:paraId="2BF5F0F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83.. The agrarian reform of 1906-1910 P. A. Stolypin's activity.</w:t>
      </w:r>
    </w:p>
    <w:p w14:paraId="152B0E0D"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84. The February Revolution of 1917 and the formation of a new state system.</w:t>
      </w:r>
    </w:p>
    <w:p w14:paraId="2FC6D108"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85. Legislative policy of the Provisional Bourgeois Government of Russia in 1917</w:t>
      </w:r>
    </w:p>
    <w:p w14:paraId="794DDE3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86. II All-Russian Congress of Soviets and its decisions.</w:t>
      </w:r>
    </w:p>
    <w:p w14:paraId="3B53F58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87. The Constituent Assembly in Russia (1917-1918). Convocation and reasons for dissolution.</w:t>
      </w:r>
    </w:p>
    <w:p w14:paraId="1EFED90B"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88. III All-Russian Congress of Soviets. Declaration of the Rights of the Working and Exploited People.</w:t>
      </w:r>
    </w:p>
    <w:p w14:paraId="31D939CA"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89. The creation of the foundations of Soviet law. Sources of law. The first decrees of the Soviet government. Codification in the field of family, labor, and criminal law.</w:t>
      </w:r>
    </w:p>
    <w:p w14:paraId="758AB619"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90. The Constitution of the RSFSR of 1918: development, structure, organization of Soviet power, rights and duties of citizens, suffrage.</w:t>
      </w:r>
    </w:p>
    <w:p w14:paraId="6578D45E"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91. Creation and development of the Soviet judicial system in 1917-1922.</w:t>
      </w:r>
    </w:p>
    <w:p w14:paraId="6777FA94"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92. The system of repressive organs in 1917 – 1922</w:t>
      </w:r>
    </w:p>
    <w:p w14:paraId="00D4F735"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93. The state-political system during the NEP period.</w:t>
      </w:r>
    </w:p>
    <w:p w14:paraId="051C4DE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94. Tasks and main directions of the codification of Soviet law in 1922-1924.</w:t>
      </w:r>
    </w:p>
    <w:p w14:paraId="29E5396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95. The Civil Code of the RSFSR of 1922: development, adoption, basic features of law.</w:t>
      </w:r>
    </w:p>
    <w:p w14:paraId="59D75F37"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 xml:space="preserve">96. The RSFSR Land Code of 1922 </w:t>
      </w:r>
    </w:p>
    <w:p w14:paraId="366CB023"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97. The Labor Code of the RSFSR of 1922</w:t>
      </w:r>
    </w:p>
    <w:p w14:paraId="02AE072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98. Creation and main provisions of the Criminal Code of the RSFSR of 1922</w:t>
      </w:r>
    </w:p>
    <w:p w14:paraId="695463B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99. Creation of a socialist federal state. Constitution of the USSR of 1924</w:t>
      </w:r>
    </w:p>
    <w:p w14:paraId="65823E72"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100. The deformation in the state-political system of the USSR in the end of 1920-1930. The USSR Constitution of 1936</w:t>
      </w:r>
    </w:p>
    <w:p w14:paraId="50A27986"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101. Changes in the state system of the USSR during the Great Patriotic War</w:t>
      </w:r>
    </w:p>
    <w:p w14:paraId="041CE8EB"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t>102. Soviet law during the Great Patriotic War</w:t>
      </w:r>
    </w:p>
    <w:p w14:paraId="64202DAD" w14:textId="77777777" w:rsidR="004162B0" w:rsidRPr="004162B0" w:rsidRDefault="004162B0" w:rsidP="004162B0">
      <w:pPr>
        <w:spacing w:after="0" w:line="240" w:lineRule="auto"/>
        <w:ind w:firstLine="709"/>
        <w:jc w:val="both"/>
        <w:rPr>
          <w:rStyle w:val="90"/>
          <w:rFonts w:eastAsiaTheme="minorHAnsi"/>
          <w:lang w:val="en-US"/>
        </w:rPr>
      </w:pPr>
      <w:r w:rsidRPr="004162B0">
        <w:rPr>
          <w:rStyle w:val="90"/>
          <w:rFonts w:eastAsiaTheme="minorHAnsi"/>
          <w:lang w:val="en-US"/>
        </w:rPr>
        <w:lastRenderedPageBreak/>
        <w:t>103. The state and law in the context of the crisis of socialism 1960 – 1970 Constitution of the USSR of 1977</w:t>
      </w:r>
    </w:p>
    <w:p w14:paraId="0661D193" w14:textId="27D86E7E" w:rsidR="004938E2" w:rsidRPr="004162B0" w:rsidRDefault="004162B0" w:rsidP="004162B0">
      <w:pPr>
        <w:spacing w:after="0" w:line="240" w:lineRule="auto"/>
        <w:ind w:firstLine="709"/>
        <w:jc w:val="both"/>
        <w:rPr>
          <w:rFonts w:ascii="Times New Roman" w:hAnsi="Times New Roman" w:cs="Times New Roman"/>
          <w:color w:val="000000"/>
          <w:sz w:val="28"/>
          <w:szCs w:val="20"/>
          <w:u w:color="000000"/>
          <w:lang w:eastAsia="ru-RU"/>
        </w:rPr>
      </w:pPr>
      <w:r w:rsidRPr="004162B0">
        <w:rPr>
          <w:rStyle w:val="90"/>
          <w:rFonts w:eastAsiaTheme="minorHAnsi"/>
          <w:lang w:val="en-US"/>
        </w:rPr>
        <w:t>104. Changes in the socio-economic and political system of the USSR during the period of "perestroika" in the second half of the 1980s. Formation of new statehood and law of the Russian Federation in the 1990s Constitution of the Russian Federation 1993.</w:t>
      </w:r>
      <w:bookmarkStart w:id="0" w:name="_GoBack"/>
      <w:bookmarkEnd w:id="0"/>
    </w:p>
    <w:sectPr w:rsidR="004938E2" w:rsidRPr="004162B0" w:rsidSect="00E926DA">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EA704" w14:textId="77777777" w:rsidR="005F5E5A" w:rsidRDefault="005F5E5A" w:rsidP="004162B0">
      <w:pPr>
        <w:spacing w:after="0" w:line="240" w:lineRule="auto"/>
      </w:pPr>
      <w:r>
        <w:separator/>
      </w:r>
    </w:p>
  </w:endnote>
  <w:endnote w:type="continuationSeparator" w:id="0">
    <w:p w14:paraId="4DC13502" w14:textId="77777777" w:rsidR="005F5E5A" w:rsidRDefault="005F5E5A" w:rsidP="0041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4EB04" w14:textId="77777777" w:rsidR="005F5E5A" w:rsidRDefault="005F5E5A" w:rsidP="004162B0">
      <w:pPr>
        <w:spacing w:after="0" w:line="240" w:lineRule="auto"/>
      </w:pPr>
      <w:r>
        <w:separator/>
      </w:r>
    </w:p>
  </w:footnote>
  <w:footnote w:type="continuationSeparator" w:id="0">
    <w:p w14:paraId="42CE9F71" w14:textId="77777777" w:rsidR="005F5E5A" w:rsidRDefault="005F5E5A" w:rsidP="0041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C07A9"/>
    <w:multiLevelType w:val="hybridMultilevel"/>
    <w:tmpl w:val="E758C3A8"/>
    <w:lvl w:ilvl="0" w:tplc="84226ABC">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F31442C"/>
    <w:multiLevelType w:val="hybridMultilevel"/>
    <w:tmpl w:val="EBDA9AB4"/>
    <w:lvl w:ilvl="0" w:tplc="C3C04E6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7B5C18"/>
    <w:multiLevelType w:val="multilevel"/>
    <w:tmpl w:val="AEF8DBA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C36AC1"/>
    <w:multiLevelType w:val="hybridMultilevel"/>
    <w:tmpl w:val="54DAA14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975DB5"/>
    <w:multiLevelType w:val="multilevel"/>
    <w:tmpl w:val="818E8B1E"/>
    <w:lvl w:ilvl="0">
      <w:start w:val="1"/>
      <w:numFmt w:val="decimal"/>
      <w:lvlText w:val="%1."/>
      <w:lvlJc w:val="left"/>
      <w:pPr>
        <w:ind w:left="720" w:hanging="360"/>
      </w:pPr>
      <w:rPr>
        <w:rFonts w:ascii="Arial Unicode MS" w:hAnsi="Arial Unicode MS"/>
        <w:caps w:val="0"/>
        <w:smallCaps w:val="0"/>
        <w:strike w:val="0"/>
        <w:emboss w:val="0"/>
        <w:imprint w:val="0"/>
        <w:spacing w:val="0"/>
      </w:rPr>
    </w:lvl>
    <w:lvl w:ilvl="1">
      <w:start w:val="1"/>
      <w:numFmt w:val="lowerLetter"/>
      <w:lvlText w:val="%2."/>
      <w:lvlJc w:val="left"/>
      <w:pPr>
        <w:ind w:left="1440" w:hanging="360"/>
      </w:pPr>
      <w:rPr>
        <w:rFonts w:ascii="Arial Unicode MS" w:hAnsi="Arial Unicode MS"/>
        <w:caps w:val="0"/>
        <w:smallCaps w:val="0"/>
        <w:strike w:val="0"/>
        <w:emboss w:val="0"/>
        <w:imprint w:val="0"/>
        <w:spacing w:val="0"/>
      </w:rPr>
    </w:lvl>
    <w:lvl w:ilvl="2">
      <w:start w:val="1"/>
      <w:numFmt w:val="lowerRoman"/>
      <w:lvlText w:val="%3."/>
      <w:lvlJc w:val="left"/>
      <w:pPr>
        <w:ind w:left="2160" w:hanging="320"/>
      </w:pPr>
      <w:rPr>
        <w:rFonts w:ascii="Arial Unicode MS" w:hAnsi="Arial Unicode MS"/>
        <w:caps w:val="0"/>
        <w:smallCaps w:val="0"/>
        <w:strike w:val="0"/>
        <w:emboss w:val="0"/>
        <w:imprint w:val="0"/>
        <w:spacing w:val="0"/>
      </w:rPr>
    </w:lvl>
    <w:lvl w:ilvl="3">
      <w:start w:val="1"/>
      <w:numFmt w:val="decimal"/>
      <w:lvlText w:val="%4."/>
      <w:lvlJc w:val="left"/>
      <w:pPr>
        <w:ind w:left="2880" w:hanging="360"/>
      </w:pPr>
      <w:rPr>
        <w:rFonts w:ascii="Arial Unicode MS" w:hAnsi="Arial Unicode MS"/>
        <w:caps w:val="0"/>
        <w:smallCaps w:val="0"/>
        <w:strike w:val="0"/>
        <w:emboss w:val="0"/>
        <w:imprint w:val="0"/>
        <w:spacing w:val="0"/>
      </w:rPr>
    </w:lvl>
    <w:lvl w:ilvl="4">
      <w:start w:val="1"/>
      <w:numFmt w:val="lowerLetter"/>
      <w:lvlText w:val="%5."/>
      <w:lvlJc w:val="left"/>
      <w:pPr>
        <w:ind w:left="3600" w:hanging="360"/>
      </w:pPr>
      <w:rPr>
        <w:rFonts w:ascii="Arial Unicode MS" w:hAnsi="Arial Unicode MS"/>
        <w:caps w:val="0"/>
        <w:smallCaps w:val="0"/>
        <w:strike w:val="0"/>
        <w:emboss w:val="0"/>
        <w:imprint w:val="0"/>
        <w:spacing w:val="0"/>
      </w:rPr>
    </w:lvl>
    <w:lvl w:ilvl="5">
      <w:start w:val="1"/>
      <w:numFmt w:val="lowerRoman"/>
      <w:lvlText w:val="%6."/>
      <w:lvlJc w:val="left"/>
      <w:pPr>
        <w:ind w:left="4320" w:hanging="320"/>
      </w:pPr>
      <w:rPr>
        <w:rFonts w:ascii="Arial Unicode MS" w:hAnsi="Arial Unicode MS"/>
        <w:caps w:val="0"/>
        <w:smallCaps w:val="0"/>
        <w:strike w:val="0"/>
        <w:emboss w:val="0"/>
        <w:imprint w:val="0"/>
        <w:spacing w:val="0"/>
      </w:rPr>
    </w:lvl>
    <w:lvl w:ilvl="6">
      <w:start w:val="1"/>
      <w:numFmt w:val="decimal"/>
      <w:lvlText w:val="%7."/>
      <w:lvlJc w:val="left"/>
      <w:pPr>
        <w:ind w:left="5040" w:hanging="360"/>
      </w:pPr>
      <w:rPr>
        <w:rFonts w:ascii="Arial Unicode MS" w:hAnsi="Arial Unicode MS"/>
        <w:caps w:val="0"/>
        <w:smallCaps w:val="0"/>
        <w:strike w:val="0"/>
        <w:emboss w:val="0"/>
        <w:imprint w:val="0"/>
        <w:spacing w:val="0"/>
      </w:rPr>
    </w:lvl>
    <w:lvl w:ilvl="7">
      <w:start w:val="1"/>
      <w:numFmt w:val="lowerLetter"/>
      <w:lvlText w:val="%8."/>
      <w:lvlJc w:val="left"/>
      <w:pPr>
        <w:ind w:left="5760" w:hanging="360"/>
      </w:pPr>
      <w:rPr>
        <w:rFonts w:ascii="Arial Unicode MS" w:hAnsi="Arial Unicode MS"/>
        <w:caps w:val="0"/>
        <w:smallCaps w:val="0"/>
        <w:strike w:val="0"/>
        <w:emboss w:val="0"/>
        <w:imprint w:val="0"/>
        <w:spacing w:val="0"/>
      </w:rPr>
    </w:lvl>
    <w:lvl w:ilvl="8">
      <w:start w:val="1"/>
      <w:numFmt w:val="lowerRoman"/>
      <w:lvlText w:val="%9."/>
      <w:lvlJc w:val="left"/>
      <w:pPr>
        <w:ind w:left="6480" w:hanging="320"/>
      </w:pPr>
      <w:rPr>
        <w:rFonts w:ascii="Arial Unicode MS" w:hAnsi="Arial Unicode MS"/>
        <w:caps w:val="0"/>
        <w:smallCaps w:val="0"/>
        <w:strike w:val="0"/>
        <w:emboss w:val="0"/>
        <w:imprint w:val="0"/>
        <w:spacing w:val="0"/>
      </w:rPr>
    </w:lvl>
  </w:abstractNum>
  <w:abstractNum w:abstractNumId="5" w15:restartNumberingAfterBreak="0">
    <w:nsid w:val="6E410AED"/>
    <w:multiLevelType w:val="hybridMultilevel"/>
    <w:tmpl w:val="7E5AA3AA"/>
    <w:lvl w:ilvl="0" w:tplc="CBB80B02">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3F"/>
    <w:rsid w:val="000C2D8D"/>
    <w:rsid w:val="000C3C48"/>
    <w:rsid w:val="00154CBA"/>
    <w:rsid w:val="001F750B"/>
    <w:rsid w:val="0028120A"/>
    <w:rsid w:val="004162B0"/>
    <w:rsid w:val="00544763"/>
    <w:rsid w:val="005F5E5A"/>
    <w:rsid w:val="006A663F"/>
    <w:rsid w:val="007310BD"/>
    <w:rsid w:val="00D35103"/>
    <w:rsid w:val="00D868A9"/>
    <w:rsid w:val="00DE0433"/>
    <w:rsid w:val="00F35D5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193"/>
  <w15:chartTrackingRefBased/>
  <w15:docId w15:val="{08A12EB1-C177-4D9F-B9AC-8AFD7D18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D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5D5A"/>
    <w:rPr>
      <w:rFonts w:ascii="Segoe UI" w:hAnsi="Segoe UI" w:cs="Segoe UI"/>
      <w:sz w:val="18"/>
      <w:szCs w:val="18"/>
    </w:rPr>
  </w:style>
  <w:style w:type="paragraph" w:styleId="a5">
    <w:name w:val="header"/>
    <w:basedOn w:val="a"/>
    <w:link w:val="a6"/>
    <w:uiPriority w:val="99"/>
    <w:unhideWhenUsed/>
    <w:rsid w:val="004162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62B0"/>
  </w:style>
  <w:style w:type="paragraph" w:styleId="a7">
    <w:name w:val="footer"/>
    <w:basedOn w:val="a"/>
    <w:link w:val="a8"/>
    <w:uiPriority w:val="99"/>
    <w:unhideWhenUsed/>
    <w:rsid w:val="004162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62B0"/>
  </w:style>
  <w:style w:type="paragraph" w:styleId="9">
    <w:name w:val="toc 9"/>
    <w:link w:val="90"/>
    <w:uiPriority w:val="39"/>
    <w:rsid w:val="004162B0"/>
    <w:pPr>
      <w:pBdr>
        <w:top w:val="nil"/>
        <w:left w:val="nil"/>
        <w:bottom w:val="nil"/>
        <w:right w:val="nil"/>
        <w:between w:val="nil"/>
      </w:pBdr>
      <w:spacing w:after="0" w:line="240" w:lineRule="auto"/>
      <w:outlineLvl w:val="8"/>
    </w:pPr>
    <w:rPr>
      <w:rFonts w:ascii="Times New Roman" w:eastAsia="Times New Roman" w:hAnsi="Times New Roman" w:cs="Times New Roman"/>
      <w:color w:val="000000"/>
      <w:sz w:val="28"/>
      <w:szCs w:val="20"/>
      <w:u w:color="000000"/>
      <w:lang w:val="ru-RU" w:eastAsia="ru-RU"/>
    </w:rPr>
  </w:style>
  <w:style w:type="character" w:customStyle="1" w:styleId="90">
    <w:name w:val="Оглавление 9 Знак"/>
    <w:link w:val="9"/>
    <w:uiPriority w:val="39"/>
    <w:rsid w:val="004162B0"/>
    <w:rPr>
      <w:rFonts w:ascii="Times New Roman" w:eastAsia="Times New Roman" w:hAnsi="Times New Roman" w:cs="Times New Roman"/>
      <w:color w:val="000000"/>
      <w:sz w:val="28"/>
      <w:szCs w:val="2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1442</Words>
  <Characters>8221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 Commander</dc:creator>
  <cp:keywords/>
  <dc:description/>
  <cp:lastModifiedBy>Dmitry Usov</cp:lastModifiedBy>
  <cp:revision>12</cp:revision>
  <cp:lastPrinted>2021-09-02T13:34:00Z</cp:lastPrinted>
  <dcterms:created xsi:type="dcterms:W3CDTF">2018-10-18T12:31:00Z</dcterms:created>
  <dcterms:modified xsi:type="dcterms:W3CDTF">2026-05-13T15:36:00Z</dcterms:modified>
</cp:coreProperties>
</file>