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974A5" w14:textId="609F3833" w:rsidR="004619F6" w:rsidRDefault="00074238" w:rsidP="00074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8325B" wp14:editId="144CC7F2">
            <wp:extent cx="847725" cy="817245"/>
            <wp:effectExtent l="0" t="0" r="9525" b="1905"/>
            <wp:docPr id="16813173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7F68D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596B7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02978" w14:textId="11988AC9" w:rsidR="004619F6" w:rsidRDefault="00AC61D2" w:rsidP="0077400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6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X Банковская юридическая конференция «Банковское право России: выверяем фарватер»</w:t>
      </w:r>
    </w:p>
    <w:p w14:paraId="78D17685" w14:textId="16BCCD6C" w:rsidR="00074238" w:rsidRDefault="00074238" w:rsidP="00074238">
      <w:pPr>
        <w:tabs>
          <w:tab w:val="left" w:pos="25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545523" w14:textId="248511D9" w:rsidR="00074238" w:rsidRDefault="00074238" w:rsidP="00074238">
      <w:pPr>
        <w:tabs>
          <w:tab w:val="left" w:pos="253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FE5F0" wp14:editId="04275134">
            <wp:extent cx="1592580" cy="1592580"/>
            <wp:effectExtent l="0" t="0" r="0" b="0"/>
            <wp:docPr id="18666335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DF77E" w14:textId="7F893EAC" w:rsidR="00AC61D2" w:rsidRDefault="00AC61D2" w:rsidP="00AC61D2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 18 по 19 декабря 2024 года представители кафедры финансового права Университета имени О.Е. Кутафина (МГЮА) приняли участие в 10 банковской юридической конференции, при поддержке Ассоциации банков России. </w:t>
      </w:r>
    </w:p>
    <w:p w14:paraId="61DC9242" w14:textId="6DEC9271" w:rsidR="00AC61D2" w:rsidRDefault="00AC61D2" w:rsidP="00AC61D2">
      <w:pPr>
        <w:tabs>
          <w:tab w:val="left" w:pos="2568"/>
        </w:tabs>
        <w:ind w:left="142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00BF1C" wp14:editId="601778FC">
            <wp:extent cx="2456464" cy="3276600"/>
            <wp:effectExtent l="0" t="0" r="1270" b="0"/>
            <wp:docPr id="1" name="Рисунок 1" descr="E:\Сайт\фото\бан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фото\банк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64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9D871" w14:textId="51B418A0" w:rsidR="00AC61D2" w:rsidRDefault="00AC61D2" w:rsidP="00AC61D2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Участники конференции: </w:t>
      </w:r>
      <w:r w:rsidRPr="00AC61D2">
        <w:rPr>
          <w:rFonts w:ascii="Times New Roman" w:hAnsi="Times New Roman" w:cs="Times New Roman"/>
          <w:noProof/>
          <w:sz w:val="28"/>
          <w:szCs w:val="28"/>
        </w:rPr>
        <w:t>Аксаков Анатолий Геннадьевич, Председатель Комитета по финансовому рынку, Государственная Дума Российской Федерации, Председатель Совета Ассоциации банков России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C61D2">
        <w:rPr>
          <w:rFonts w:ascii="Times New Roman" w:hAnsi="Times New Roman" w:cs="Times New Roman"/>
          <w:noProof/>
          <w:sz w:val="28"/>
          <w:szCs w:val="28"/>
        </w:rPr>
        <w:t>Чистюхин Владимир Викторович, Первый заместитель Председателя, Банк России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C61D2">
        <w:rPr>
          <w:rFonts w:ascii="Times New Roman" w:hAnsi="Times New Roman" w:cs="Times New Roman"/>
          <w:noProof/>
          <w:sz w:val="28"/>
          <w:szCs w:val="28"/>
        </w:rPr>
        <w:t>Козлачков Анатолий Анатольевич, Президент, Ассоциация банков России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5949D90F" w14:textId="350B64DD" w:rsidR="00FC5044" w:rsidRDefault="00AC61D2" w:rsidP="00AC61D2">
      <w:pPr>
        <w:tabs>
          <w:tab w:val="left" w:pos="2568"/>
        </w:tabs>
        <w:ind w:left="142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EFD07B" wp14:editId="228F598D">
            <wp:extent cx="2973391" cy="2228850"/>
            <wp:effectExtent l="0" t="0" r="0" b="0"/>
            <wp:docPr id="2" name="Рисунок 2" descr="E:\Сайт\фото\бан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йт\фото\банк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391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E1B97" w14:textId="59C5AB56" w:rsidR="00AC61D2" w:rsidRPr="00AC61D2" w:rsidRDefault="00AC61D2" w:rsidP="00AC61D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61D2">
        <w:rPr>
          <w:rFonts w:ascii="Times New Roman" w:hAnsi="Times New Roman" w:cs="Times New Roman"/>
          <w:noProof/>
          <w:sz w:val="28"/>
          <w:szCs w:val="28"/>
        </w:rPr>
        <w:t>Для чего создается институт комплексного урегулирования задолженности? Какая модель выбрана для его создания? Каковы представления регулятора, профессиональных субъ</w:t>
      </w:r>
      <w:bookmarkStart w:id="0" w:name="_GoBack"/>
      <w:bookmarkEnd w:id="0"/>
      <w:r w:rsidRPr="00AC61D2">
        <w:rPr>
          <w:rFonts w:ascii="Times New Roman" w:hAnsi="Times New Roman" w:cs="Times New Roman"/>
          <w:noProof/>
          <w:sz w:val="28"/>
          <w:szCs w:val="28"/>
        </w:rPr>
        <w:t xml:space="preserve">ектов финансового рынка и финансового уполномоченного о ключевых характеристиках нового института? Какова роль финансового уполномоченного в процедуре комплексного урегулирования задолженности? На эти, а также другие вопросы,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были получены ответы в рамках проводимого мероприятия. </w:t>
      </w:r>
    </w:p>
    <w:p w14:paraId="0118E78D" w14:textId="77777777" w:rsidR="00FC5044" w:rsidRDefault="00FC5044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0477333" w14:textId="029C7015" w:rsidR="00C87B47" w:rsidRPr="00F7139A" w:rsidRDefault="00F7139A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подписывайтесь на наш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Telegram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канал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финансы </w:t>
      </w:r>
      <w:hyperlink r:id="rId10" w:history="1">
        <w:r w:rsidRPr="00E3210C">
          <w:rPr>
            <w:rStyle w:val="a5"/>
            <w:rFonts w:ascii="Times New Roman" w:hAnsi="Times New Roman" w:cs="Times New Roman"/>
            <w:noProof/>
            <w:sz w:val="28"/>
            <w:szCs w:val="28"/>
          </w:rPr>
          <w:t>https://t.me/PROfinanceMSAL</w:t>
        </w:r>
      </w:hyperlink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7B4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1BCD011" w14:textId="77777777" w:rsidR="00C87B47" w:rsidRPr="00C87B47" w:rsidRDefault="00C87B47" w:rsidP="00C87B47">
      <w:pPr>
        <w:tabs>
          <w:tab w:val="left" w:pos="2568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C87B47" w:rsidRPr="00C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2DCB"/>
    <w:multiLevelType w:val="hybridMultilevel"/>
    <w:tmpl w:val="FAC856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5CA0A2F"/>
    <w:multiLevelType w:val="hybridMultilevel"/>
    <w:tmpl w:val="D51C486C"/>
    <w:lvl w:ilvl="0" w:tplc="0419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08"/>
    <w:rsid w:val="00023CE3"/>
    <w:rsid w:val="00074238"/>
    <w:rsid w:val="0010415D"/>
    <w:rsid w:val="00144DDA"/>
    <w:rsid w:val="001F6FD7"/>
    <w:rsid w:val="00201BAE"/>
    <w:rsid w:val="0039764B"/>
    <w:rsid w:val="00436643"/>
    <w:rsid w:val="004619F6"/>
    <w:rsid w:val="00550FAF"/>
    <w:rsid w:val="00584CDF"/>
    <w:rsid w:val="006E0B6B"/>
    <w:rsid w:val="00774008"/>
    <w:rsid w:val="008D400E"/>
    <w:rsid w:val="009A5024"/>
    <w:rsid w:val="00AC61D2"/>
    <w:rsid w:val="00AF6FE4"/>
    <w:rsid w:val="00C87B47"/>
    <w:rsid w:val="00CF23A0"/>
    <w:rsid w:val="00F7139A"/>
    <w:rsid w:val="00FC36B8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8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7B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C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7B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C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PROfinanceMS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Хромченко</dc:creator>
  <cp:lastModifiedBy>1</cp:lastModifiedBy>
  <cp:revision>2</cp:revision>
  <dcterms:created xsi:type="dcterms:W3CDTF">2024-12-20T09:32:00Z</dcterms:created>
  <dcterms:modified xsi:type="dcterms:W3CDTF">2024-12-20T09:32:00Z</dcterms:modified>
</cp:coreProperties>
</file>