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74A5" w14:textId="609F3833" w:rsidR="004619F6" w:rsidRDefault="00074238" w:rsidP="0007423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3B8325B" wp14:editId="144CC7F2">
            <wp:extent cx="847725" cy="817245"/>
            <wp:effectExtent l="0" t="0" r="9525" b="1905"/>
            <wp:docPr id="16813173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17245"/>
                    </a:xfrm>
                    <a:prstGeom prst="rect">
                      <a:avLst/>
                    </a:prstGeom>
                    <a:noFill/>
                  </pic:spPr>
                </pic:pic>
              </a:graphicData>
            </a:graphic>
          </wp:inline>
        </w:drawing>
      </w:r>
    </w:p>
    <w:p w14:paraId="1A37F68D" w14:textId="77777777" w:rsidR="00074238" w:rsidRDefault="00074238" w:rsidP="004619F6">
      <w:pPr>
        <w:spacing w:after="0"/>
        <w:rPr>
          <w:rFonts w:ascii="Times New Roman" w:hAnsi="Times New Roman" w:cs="Times New Roman"/>
          <w:sz w:val="24"/>
          <w:szCs w:val="24"/>
        </w:rPr>
      </w:pPr>
    </w:p>
    <w:p w14:paraId="6BC596B7" w14:textId="77777777" w:rsidR="00074238" w:rsidRDefault="00074238" w:rsidP="004619F6">
      <w:pPr>
        <w:spacing w:after="0"/>
        <w:rPr>
          <w:rFonts w:ascii="Times New Roman" w:hAnsi="Times New Roman" w:cs="Times New Roman"/>
          <w:sz w:val="24"/>
          <w:szCs w:val="24"/>
        </w:rPr>
      </w:pPr>
    </w:p>
    <w:p w14:paraId="26102978" w14:textId="73A9FB36" w:rsidR="004619F6" w:rsidRPr="008333DE" w:rsidRDefault="008333DE" w:rsidP="00774008">
      <w:pPr>
        <w:spacing w:after="0"/>
        <w:jc w:val="center"/>
        <w:rPr>
          <w:rFonts w:ascii="Times New Roman" w:hAnsi="Times New Roman" w:cs="Times New Roman"/>
          <w:b/>
          <w:bCs/>
          <w:i/>
          <w:iCs/>
          <w:sz w:val="28"/>
          <w:szCs w:val="28"/>
        </w:rPr>
      </w:pPr>
      <w:r w:rsidRPr="008333DE">
        <w:rPr>
          <w:rFonts w:ascii="Times New Roman" w:hAnsi="Times New Roman" w:cs="Times New Roman"/>
          <w:b/>
          <w:bCs/>
          <w:i/>
          <w:iCs/>
          <w:sz w:val="28"/>
          <w:szCs w:val="28"/>
        </w:rPr>
        <w:t xml:space="preserve">I Межвузовский студенческий конкурс по проблемам правового регулирования финансовых рынков в РФ </w:t>
      </w:r>
      <w:proofErr w:type="spellStart"/>
      <w:r w:rsidRPr="008333DE">
        <w:rPr>
          <w:rFonts w:ascii="Times New Roman" w:hAnsi="Times New Roman" w:cs="Times New Roman"/>
          <w:b/>
          <w:bCs/>
          <w:i/>
          <w:iCs/>
          <w:sz w:val="28"/>
          <w:szCs w:val="28"/>
        </w:rPr>
        <w:t>FinLex</w:t>
      </w:r>
      <w:proofErr w:type="spellEnd"/>
      <w:r w:rsidRPr="008333DE">
        <w:rPr>
          <w:rFonts w:ascii="Times New Roman" w:hAnsi="Times New Roman" w:cs="Times New Roman"/>
          <w:b/>
          <w:bCs/>
          <w:i/>
          <w:iCs/>
          <w:sz w:val="28"/>
          <w:szCs w:val="28"/>
        </w:rPr>
        <w:t xml:space="preserve"> 2024</w:t>
      </w:r>
    </w:p>
    <w:p w14:paraId="78D17685" w14:textId="16BCCD6C" w:rsidR="00074238" w:rsidRDefault="00074238" w:rsidP="00074238">
      <w:pPr>
        <w:tabs>
          <w:tab w:val="left" w:pos="2538"/>
        </w:tabs>
        <w:rPr>
          <w:rFonts w:ascii="Times New Roman" w:hAnsi="Times New Roman" w:cs="Times New Roman"/>
          <w:sz w:val="28"/>
          <w:szCs w:val="28"/>
        </w:rPr>
      </w:pPr>
      <w:r>
        <w:rPr>
          <w:rFonts w:ascii="Times New Roman" w:hAnsi="Times New Roman" w:cs="Times New Roman"/>
          <w:sz w:val="28"/>
          <w:szCs w:val="28"/>
        </w:rPr>
        <w:tab/>
      </w:r>
    </w:p>
    <w:p w14:paraId="5949D90F" w14:textId="5B174C70" w:rsidR="00FC5044" w:rsidRDefault="00074238" w:rsidP="008333DE">
      <w:pPr>
        <w:tabs>
          <w:tab w:val="left" w:pos="2538"/>
        </w:tabs>
        <w:jc w:val="center"/>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14:anchorId="329FE5F0" wp14:editId="04275134">
            <wp:extent cx="1592580" cy="1592580"/>
            <wp:effectExtent l="0" t="0" r="0" b="0"/>
            <wp:docPr id="18666335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pic:spPr>
                </pic:pic>
              </a:graphicData>
            </a:graphic>
          </wp:inline>
        </w:drawing>
      </w:r>
    </w:p>
    <w:p w14:paraId="547AC33D" w14:textId="286AB55F"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 xml:space="preserve">16–18 мая прошел I Межвузовский студенческий конкурс по проблемам правового регулирования финансовых рынков в Российской Федерации FinLex 2024. В качестве организаторов мероприятия выступили Центральный банк РФ совместно с Международно-правовым факультетом и Юридическим клубом </w:t>
      </w:r>
      <w:r>
        <w:rPr>
          <w:rFonts w:ascii="Times New Roman" w:hAnsi="Times New Roman" w:cs="Times New Roman"/>
          <w:noProof/>
          <w:sz w:val="28"/>
          <w:szCs w:val="28"/>
        </w:rPr>
        <w:t>МГИМО при поддержке Эндаумента.</w:t>
      </w:r>
    </w:p>
    <w:p w14:paraId="2B121BE9" w14:textId="07790B0D"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 xml:space="preserve">В конкурсе приняли участие студенты выпускных курсов бакалавриата и магистратуры из ведущих университетов России: МГИМО, МГУ им. М.В.Ломоносова, </w:t>
      </w:r>
      <w:r w:rsidRPr="008333DE">
        <w:rPr>
          <w:rFonts w:ascii="Times New Roman" w:hAnsi="Times New Roman" w:cs="Times New Roman"/>
          <w:b/>
          <w:noProof/>
          <w:sz w:val="28"/>
          <w:szCs w:val="28"/>
        </w:rPr>
        <w:t>МГЮА им. О.Е.Кутафина</w:t>
      </w:r>
      <w:r w:rsidRPr="008333DE">
        <w:rPr>
          <w:rFonts w:ascii="Times New Roman" w:hAnsi="Times New Roman" w:cs="Times New Roman"/>
          <w:noProof/>
          <w:sz w:val="28"/>
          <w:szCs w:val="28"/>
        </w:rPr>
        <w:t>, СГЮА, СП</w:t>
      </w:r>
      <w:r>
        <w:rPr>
          <w:rFonts w:ascii="Times New Roman" w:hAnsi="Times New Roman" w:cs="Times New Roman"/>
          <w:noProof/>
          <w:sz w:val="28"/>
          <w:szCs w:val="28"/>
        </w:rPr>
        <w:t>бГУ и Финансового университета.</w:t>
      </w:r>
    </w:p>
    <w:p w14:paraId="67308849" w14:textId="6650058A"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 xml:space="preserve">16 мая в рамках конкурса участники посетили главное здание Центрального банка Российской Федерации на ул. Неглинная, 12, где их с приветственным словом встретила </w:t>
      </w:r>
      <w:r w:rsidRPr="008333DE">
        <w:rPr>
          <w:rFonts w:ascii="Times New Roman" w:hAnsi="Times New Roman" w:cs="Times New Roman"/>
          <w:b/>
          <w:noProof/>
          <w:sz w:val="28"/>
          <w:szCs w:val="28"/>
        </w:rPr>
        <w:t>Е.О.Демкина</w:t>
      </w:r>
      <w:r w:rsidRPr="008333DE">
        <w:rPr>
          <w:rFonts w:ascii="Times New Roman" w:hAnsi="Times New Roman" w:cs="Times New Roman"/>
          <w:noProof/>
          <w:sz w:val="28"/>
          <w:szCs w:val="28"/>
        </w:rPr>
        <w:t xml:space="preserve"> — заместитель директора Юридического департамента — и рассказала об основных функциях мегарегулятора, его структуре, а также представила презентацию «Юрист в Банке России». Сотрудники Банка России провели для участников экскурсию по музею и историческому зданию. В ходе экскурсии участники смогли узнать больше об истории, в том числе национальной валюты, а также задать интересующие и</w:t>
      </w:r>
      <w:r>
        <w:rPr>
          <w:rFonts w:ascii="Times New Roman" w:hAnsi="Times New Roman" w:cs="Times New Roman"/>
          <w:noProof/>
          <w:sz w:val="28"/>
          <w:szCs w:val="28"/>
        </w:rPr>
        <w:t>х вопросы.</w:t>
      </w:r>
    </w:p>
    <w:p w14:paraId="4BE944A4" w14:textId="77777777"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17 мая состоялась торжественная церемония открытия студенческого конкурса по проблемам правового регулирования финансовых рынков в Российской Федерации FinLex 2024 в МГИМО.</w:t>
      </w:r>
    </w:p>
    <w:p w14:paraId="4EFB258A" w14:textId="77777777" w:rsidR="008333DE" w:rsidRPr="008333DE" w:rsidRDefault="008333DE" w:rsidP="008333DE">
      <w:pPr>
        <w:tabs>
          <w:tab w:val="left" w:pos="2568"/>
        </w:tabs>
        <w:ind w:left="142"/>
        <w:jc w:val="both"/>
        <w:rPr>
          <w:rFonts w:ascii="Times New Roman" w:hAnsi="Times New Roman" w:cs="Times New Roman"/>
          <w:noProof/>
          <w:sz w:val="28"/>
          <w:szCs w:val="28"/>
        </w:rPr>
      </w:pPr>
    </w:p>
    <w:p w14:paraId="1716D5CB" w14:textId="77777777" w:rsid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lastRenderedPageBreak/>
        <w:t xml:space="preserve">С приветственным словом к участникам обратился директор Юридического департамента Банка России </w:t>
      </w:r>
      <w:r w:rsidRPr="008333DE">
        <w:rPr>
          <w:rFonts w:ascii="Times New Roman" w:hAnsi="Times New Roman" w:cs="Times New Roman"/>
          <w:b/>
          <w:noProof/>
          <w:sz w:val="28"/>
          <w:szCs w:val="28"/>
        </w:rPr>
        <w:t>А.В.Медведев</w:t>
      </w:r>
      <w:r w:rsidRPr="008333DE">
        <w:rPr>
          <w:rFonts w:ascii="Times New Roman" w:hAnsi="Times New Roman" w:cs="Times New Roman"/>
          <w:noProof/>
          <w:sz w:val="28"/>
          <w:szCs w:val="28"/>
        </w:rPr>
        <w:t>. Он подчеркнул важность работы молодых специалистов для инновационного развития страны и то, что в Банке Росс</w:t>
      </w:r>
      <w:r>
        <w:rPr>
          <w:rFonts w:ascii="Times New Roman" w:hAnsi="Times New Roman" w:cs="Times New Roman"/>
          <w:noProof/>
          <w:sz w:val="28"/>
          <w:szCs w:val="28"/>
        </w:rPr>
        <w:t>ии они всегда найдут поддержку.</w:t>
      </w:r>
    </w:p>
    <w:p w14:paraId="06701905" w14:textId="50D2F3F7" w:rsidR="008333DE" w:rsidRPr="008333DE" w:rsidRDefault="008333DE" w:rsidP="008333DE">
      <w:pPr>
        <w:tabs>
          <w:tab w:val="left" w:pos="2568"/>
        </w:tabs>
        <w:ind w:left="142"/>
        <w:jc w:val="both"/>
        <w:rPr>
          <w:rFonts w:ascii="Times New Roman" w:hAnsi="Times New Roman" w:cs="Times New Roman"/>
          <w:noProof/>
          <w:sz w:val="28"/>
          <w:szCs w:val="28"/>
        </w:rPr>
      </w:pPr>
      <w:r>
        <w:rPr>
          <w:rFonts w:ascii="Times New Roman" w:hAnsi="Times New Roman" w:cs="Times New Roman"/>
          <w:noProof/>
          <w:sz w:val="28"/>
          <w:szCs w:val="28"/>
        </w:rPr>
        <w:t>Оценивало</w:t>
      </w:r>
      <w:r w:rsidRPr="008333DE">
        <w:rPr>
          <w:rFonts w:ascii="Times New Roman" w:hAnsi="Times New Roman" w:cs="Times New Roman"/>
          <w:noProof/>
          <w:sz w:val="28"/>
          <w:szCs w:val="28"/>
        </w:rPr>
        <w:t xml:space="preserve"> выступление команд в рамках конкурса теоретиков профессиональное жюри, объединившее представителей юридического сообщества, включая ведущие финансово-правовые школы. В жюри вошли Максим Кулешов, управляющий партнер «Кучер, Кулешов, Максименко и партнеры», Николай Курмашев, партнер Orion Partners, Михаил Малиновский, партнер LECAP, Михаил Марначев (бюро «Иванян и партнеры»), Екатерина Первова, начальник Управления юридического сопровождения операций на финансовых рынках «Газпромбанк» (АО). Научное и академическое сообщество представили д.юрид.н., профессор кафедры административного и финансового права МГИМО доцент В.Е.Понаморенко и к.юрид.н., доцент кафедры предпринимательского права Юридического факультета МГУ им.</w:t>
      </w:r>
      <w:r>
        <w:rPr>
          <w:rFonts w:ascii="Times New Roman" w:hAnsi="Times New Roman" w:cs="Times New Roman"/>
          <w:noProof/>
          <w:sz w:val="28"/>
          <w:szCs w:val="28"/>
        </w:rPr>
        <w:t xml:space="preserve"> М.В.Ломоносова А.Е.Молотников.</w:t>
      </w:r>
    </w:p>
    <w:p w14:paraId="47E62039" w14:textId="77777777" w:rsidR="008333DE" w:rsidRDefault="008333DE" w:rsidP="008333DE">
      <w:pPr>
        <w:tabs>
          <w:tab w:val="left" w:pos="2568"/>
        </w:tabs>
        <w:ind w:left="142"/>
        <w:jc w:val="both"/>
        <w:rPr>
          <w:rFonts w:ascii="Times New Roman" w:hAnsi="Times New Roman" w:cs="Times New Roman"/>
          <w:noProof/>
          <w:sz w:val="28"/>
          <w:szCs w:val="28"/>
        </w:rPr>
      </w:pPr>
    </w:p>
    <w:p w14:paraId="64BF1FD7" w14:textId="59810FD9"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По окончании конкурсных мероприятий организаторами были подведены ито</w:t>
      </w:r>
      <w:r>
        <w:rPr>
          <w:rFonts w:ascii="Times New Roman" w:hAnsi="Times New Roman" w:cs="Times New Roman"/>
          <w:noProof/>
          <w:sz w:val="28"/>
          <w:szCs w:val="28"/>
        </w:rPr>
        <w:t>ги первого состязательного дня.</w:t>
      </w:r>
    </w:p>
    <w:p w14:paraId="0255DF14" w14:textId="76BE1C7D"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18 мая в стенах Университета прошел финал конкурса FinLex 2024, в рамках которого конкурсанты приняли участие в модельном судебном заседании. В ходе двух раундов устных слушаний они представили свои правовые позиции по рассматриваемым вопросам в качестве сторон судебного заседания и смогли продемонстрировать глубокие знания в области гражданского и фина</w:t>
      </w:r>
      <w:r>
        <w:rPr>
          <w:rFonts w:ascii="Times New Roman" w:hAnsi="Times New Roman" w:cs="Times New Roman"/>
          <w:noProof/>
          <w:sz w:val="28"/>
          <w:szCs w:val="28"/>
        </w:rPr>
        <w:t>нсового права.</w:t>
      </w:r>
    </w:p>
    <w:p w14:paraId="335BB478" w14:textId="12913CD4"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Судьями при проведении модельных слушаний также выступили представители академического сообщества, в частности, д.юрид.н., профес</w:t>
      </w:r>
      <w:r>
        <w:rPr>
          <w:rFonts w:ascii="Times New Roman" w:hAnsi="Times New Roman" w:cs="Times New Roman"/>
          <w:noProof/>
          <w:sz w:val="28"/>
          <w:szCs w:val="28"/>
        </w:rPr>
        <w:t>сор кафедры финансового права МГЮА им. О.Е. Кутафина</w:t>
      </w:r>
      <w:r w:rsidRPr="008333DE">
        <w:rPr>
          <w:rFonts w:ascii="Times New Roman" w:hAnsi="Times New Roman" w:cs="Times New Roman"/>
          <w:noProof/>
          <w:sz w:val="28"/>
          <w:szCs w:val="28"/>
        </w:rPr>
        <w:t xml:space="preserve"> доцент Ю.К.Цареградская, а также практикующие юристы, оценивавшие выступления команд на конкурсе теоретиков, к которым присоединились Анна Феденева и Евгения Николаева из Юридического департамента Банка России, Андрей Чернов (советник «White Square Partners»), Кирилл Миллер (партнер «Better Chance»), главный юрист «Яндекс Финтех» Марина Кулешова, Анна Сеидова из Юридической дирекции ООО «Компания БКС» и Иван Чумаков, представлявший Правовой департамент ПАО Сбербанк.</w:t>
      </w:r>
    </w:p>
    <w:p w14:paraId="60272DE5" w14:textId="77777777" w:rsidR="008333DE" w:rsidRPr="008333DE" w:rsidRDefault="008333DE" w:rsidP="008333DE">
      <w:pPr>
        <w:tabs>
          <w:tab w:val="left" w:pos="2568"/>
        </w:tabs>
        <w:ind w:left="142"/>
        <w:jc w:val="both"/>
        <w:rPr>
          <w:rFonts w:ascii="Times New Roman" w:hAnsi="Times New Roman" w:cs="Times New Roman"/>
          <w:noProof/>
          <w:sz w:val="28"/>
          <w:szCs w:val="28"/>
        </w:rPr>
      </w:pPr>
    </w:p>
    <w:p w14:paraId="7BEF5D28" w14:textId="260C6034"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lastRenderedPageBreak/>
        <w:t xml:space="preserve">Конкурс завершился торжественной церемонией закрытия, в ходе которой спикеры отметили высокий уровень подготовки </w:t>
      </w:r>
      <w:r>
        <w:rPr>
          <w:rFonts w:ascii="Times New Roman" w:hAnsi="Times New Roman" w:cs="Times New Roman"/>
          <w:noProof/>
          <w:sz w:val="28"/>
          <w:szCs w:val="28"/>
        </w:rPr>
        <w:t>команд, поблагодарили тренеров.</w:t>
      </w:r>
    </w:p>
    <w:p w14:paraId="3E7A754E" w14:textId="6691083A"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 xml:space="preserve">Первым с напутственным словом к участникам обратился </w:t>
      </w:r>
      <w:r w:rsidRPr="008333DE">
        <w:rPr>
          <w:rFonts w:ascii="Times New Roman" w:hAnsi="Times New Roman" w:cs="Times New Roman"/>
          <w:b/>
          <w:noProof/>
          <w:sz w:val="28"/>
          <w:szCs w:val="28"/>
        </w:rPr>
        <w:t>А.Г.Гузнов</w:t>
      </w:r>
      <w:r w:rsidRPr="008333DE">
        <w:rPr>
          <w:rFonts w:ascii="Times New Roman" w:hAnsi="Times New Roman" w:cs="Times New Roman"/>
          <w:noProof/>
          <w:sz w:val="28"/>
          <w:szCs w:val="28"/>
        </w:rPr>
        <w:t>, статс-секретарь — заместитель председателя Банка России, который подчеркнул огромную роль таких конкурсов для развития как правового регулирования в сфере финансовых рынков, так и общего уровня правовой культ</w:t>
      </w:r>
      <w:r>
        <w:rPr>
          <w:rFonts w:ascii="Times New Roman" w:hAnsi="Times New Roman" w:cs="Times New Roman"/>
          <w:noProof/>
          <w:sz w:val="28"/>
          <w:szCs w:val="28"/>
        </w:rPr>
        <w:t>уры молодого поколения юристов.</w:t>
      </w:r>
    </w:p>
    <w:p w14:paraId="70594A40" w14:textId="4C9B5E74" w:rsidR="008333DE" w:rsidRPr="008333DE" w:rsidRDefault="008333DE" w:rsidP="008333DE">
      <w:pPr>
        <w:tabs>
          <w:tab w:val="left" w:pos="2568"/>
        </w:tabs>
        <w:ind w:left="142"/>
        <w:jc w:val="both"/>
        <w:rPr>
          <w:rFonts w:ascii="Times New Roman" w:hAnsi="Times New Roman" w:cs="Times New Roman"/>
          <w:noProof/>
          <w:sz w:val="28"/>
          <w:szCs w:val="28"/>
        </w:rPr>
      </w:pPr>
      <w:r w:rsidRPr="008333DE">
        <w:rPr>
          <w:rFonts w:ascii="Times New Roman" w:hAnsi="Times New Roman" w:cs="Times New Roman"/>
          <w:noProof/>
          <w:sz w:val="28"/>
          <w:szCs w:val="28"/>
        </w:rPr>
        <w:t>Кроме этого, эксперты выбрали победителей в индивидуальном зачете, которые получили возможность пройти оплачиваемую стажировку в Юридиче</w:t>
      </w:r>
      <w:r>
        <w:rPr>
          <w:rFonts w:ascii="Times New Roman" w:hAnsi="Times New Roman" w:cs="Times New Roman"/>
          <w:noProof/>
          <w:sz w:val="28"/>
          <w:szCs w:val="28"/>
        </w:rPr>
        <w:t>ском департаменте Банка России:</w:t>
      </w:r>
    </w:p>
    <w:p w14:paraId="22AB5DC9" w14:textId="77777777" w:rsidR="008333DE" w:rsidRPr="008333DE" w:rsidRDefault="008333DE" w:rsidP="008333DE">
      <w:pPr>
        <w:tabs>
          <w:tab w:val="left" w:pos="2568"/>
        </w:tabs>
        <w:ind w:left="142"/>
        <w:jc w:val="both"/>
        <w:rPr>
          <w:rFonts w:ascii="Times New Roman" w:hAnsi="Times New Roman" w:cs="Times New Roman"/>
          <w:b/>
          <w:noProof/>
          <w:sz w:val="28"/>
          <w:szCs w:val="28"/>
        </w:rPr>
      </w:pPr>
      <w:r w:rsidRPr="008333DE">
        <w:rPr>
          <w:rFonts w:ascii="Times New Roman" w:hAnsi="Times New Roman" w:cs="Times New Roman"/>
          <w:b/>
          <w:noProof/>
          <w:sz w:val="28"/>
          <w:szCs w:val="28"/>
        </w:rPr>
        <w:t>Наталья Игнатович (МГЮА им. О.Е.Кутафина);</w:t>
      </w:r>
    </w:p>
    <w:p w14:paraId="3942D185" w14:textId="6CD17D2F" w:rsidR="008333DE" w:rsidRDefault="008333DE" w:rsidP="008333DE">
      <w:pPr>
        <w:tabs>
          <w:tab w:val="left" w:pos="2568"/>
        </w:tabs>
        <w:ind w:left="142"/>
        <w:jc w:val="both"/>
        <w:rPr>
          <w:rFonts w:ascii="Times New Roman" w:hAnsi="Times New Roman" w:cs="Times New Roman"/>
          <w:b/>
          <w:noProof/>
          <w:sz w:val="28"/>
          <w:szCs w:val="28"/>
        </w:rPr>
      </w:pPr>
      <w:r w:rsidRPr="008333DE">
        <w:rPr>
          <w:rFonts w:ascii="Times New Roman" w:hAnsi="Times New Roman" w:cs="Times New Roman"/>
          <w:b/>
          <w:noProof/>
          <w:sz w:val="28"/>
          <w:szCs w:val="28"/>
        </w:rPr>
        <w:t>София Белог</w:t>
      </w:r>
      <w:r>
        <w:rPr>
          <w:rFonts w:ascii="Times New Roman" w:hAnsi="Times New Roman" w:cs="Times New Roman"/>
          <w:b/>
          <w:noProof/>
          <w:sz w:val="28"/>
          <w:szCs w:val="28"/>
        </w:rPr>
        <w:t>орцева (МГЮА им. О.Е.Кутафина).</w:t>
      </w:r>
    </w:p>
    <w:tbl>
      <w:tblPr>
        <w:tblStyle w:val="a3"/>
        <w:tblW w:w="0" w:type="auto"/>
        <w:tblInd w:w="142" w:type="dxa"/>
        <w:tblLook w:val="04A0" w:firstRow="1" w:lastRow="0" w:firstColumn="1" w:lastColumn="0" w:noHBand="0" w:noVBand="1"/>
      </w:tblPr>
      <w:tblGrid>
        <w:gridCol w:w="4649"/>
        <w:gridCol w:w="4554"/>
      </w:tblGrid>
      <w:tr w:rsidR="008333DE" w14:paraId="0F78184B" w14:textId="77777777" w:rsidTr="008333DE">
        <w:tc>
          <w:tcPr>
            <w:tcW w:w="4672" w:type="dxa"/>
          </w:tcPr>
          <w:p w14:paraId="706BEC8E" w14:textId="36182C51" w:rsidR="008333DE" w:rsidRDefault="008333DE" w:rsidP="008333DE">
            <w:pPr>
              <w:tabs>
                <w:tab w:val="left" w:pos="2568"/>
              </w:tabs>
              <w:jc w:val="both"/>
              <w:rPr>
                <w:rFonts w:ascii="Times New Roman" w:hAnsi="Times New Roman" w:cs="Times New Roman"/>
                <w:b/>
                <w:noProof/>
                <w:sz w:val="28"/>
                <w:szCs w:val="28"/>
              </w:rPr>
            </w:pPr>
            <w:r>
              <w:rPr>
                <w:rFonts w:ascii="Times New Roman" w:hAnsi="Times New Roman" w:cs="Times New Roman"/>
                <w:b/>
                <w:noProof/>
                <w:sz w:val="28"/>
                <w:szCs w:val="28"/>
                <w:lang w:eastAsia="ru-RU"/>
              </w:rPr>
              <w:drawing>
                <wp:inline distT="0" distB="0" distL="0" distR="0" wp14:anchorId="5C1AC315" wp14:editId="073A695C">
                  <wp:extent cx="2797810" cy="3942981"/>
                  <wp:effectExtent l="0" t="0" r="2540" b="635"/>
                  <wp:docPr id="1" name="Рисунок 1" descr="C:\Users\MM6\Downloads\IMG_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6\Downloads\IMG_55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154" cy="3951922"/>
                          </a:xfrm>
                          <a:prstGeom prst="rect">
                            <a:avLst/>
                          </a:prstGeom>
                          <a:noFill/>
                          <a:ln>
                            <a:noFill/>
                          </a:ln>
                        </pic:spPr>
                      </pic:pic>
                    </a:graphicData>
                  </a:graphic>
                </wp:inline>
              </w:drawing>
            </w:r>
          </w:p>
        </w:tc>
        <w:tc>
          <w:tcPr>
            <w:tcW w:w="4673" w:type="dxa"/>
          </w:tcPr>
          <w:p w14:paraId="775EEB5C" w14:textId="429AE33A" w:rsidR="008333DE" w:rsidRDefault="008333DE" w:rsidP="008333DE">
            <w:pPr>
              <w:tabs>
                <w:tab w:val="left" w:pos="2568"/>
              </w:tabs>
              <w:jc w:val="both"/>
              <w:rPr>
                <w:rFonts w:ascii="Times New Roman" w:hAnsi="Times New Roman" w:cs="Times New Roman"/>
                <w:b/>
                <w:noProof/>
                <w:sz w:val="28"/>
                <w:szCs w:val="28"/>
              </w:rPr>
            </w:pPr>
            <w:r>
              <w:rPr>
                <w:rFonts w:ascii="Times New Roman" w:hAnsi="Times New Roman" w:cs="Times New Roman"/>
                <w:b/>
                <w:noProof/>
                <w:sz w:val="28"/>
                <w:szCs w:val="28"/>
                <w:lang w:eastAsia="ru-RU"/>
              </w:rPr>
              <w:drawing>
                <wp:inline distT="0" distB="0" distL="0" distR="0" wp14:anchorId="647BB44F" wp14:editId="5A1CCE2F">
                  <wp:extent cx="2676525" cy="3969677"/>
                  <wp:effectExtent l="0" t="0" r="0" b="0"/>
                  <wp:docPr id="2" name="Рисунок 2" descr="C:\Users\MM6\Downloads\IMG_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6\Downloads\IMG_55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918" cy="3979159"/>
                          </a:xfrm>
                          <a:prstGeom prst="rect">
                            <a:avLst/>
                          </a:prstGeom>
                          <a:noFill/>
                          <a:ln>
                            <a:noFill/>
                          </a:ln>
                        </pic:spPr>
                      </pic:pic>
                    </a:graphicData>
                  </a:graphic>
                </wp:inline>
              </w:drawing>
            </w:r>
          </w:p>
        </w:tc>
      </w:tr>
    </w:tbl>
    <w:p w14:paraId="642BE4C8" w14:textId="77777777" w:rsidR="008333DE" w:rsidRPr="008333DE" w:rsidRDefault="008333DE" w:rsidP="008333DE">
      <w:pPr>
        <w:tabs>
          <w:tab w:val="left" w:pos="2568"/>
        </w:tabs>
        <w:jc w:val="both"/>
        <w:rPr>
          <w:rFonts w:ascii="Times New Roman" w:hAnsi="Times New Roman" w:cs="Times New Roman"/>
          <w:b/>
          <w:noProof/>
          <w:sz w:val="28"/>
          <w:szCs w:val="28"/>
        </w:rPr>
      </w:pPr>
    </w:p>
    <w:p w14:paraId="0118E78D" w14:textId="1689A2C9" w:rsidR="00FC5044" w:rsidRDefault="008333DE" w:rsidP="008333DE">
      <w:pPr>
        <w:tabs>
          <w:tab w:val="left" w:pos="2568"/>
        </w:tabs>
        <w:ind w:left="142"/>
        <w:jc w:val="both"/>
        <w:rPr>
          <w:rFonts w:ascii="Times New Roman" w:hAnsi="Times New Roman" w:cs="Times New Roman"/>
          <w:noProof/>
          <w:sz w:val="28"/>
          <w:szCs w:val="28"/>
        </w:rPr>
      </w:pPr>
      <w:r>
        <w:rPr>
          <w:rFonts w:ascii="Times New Roman" w:hAnsi="Times New Roman" w:cs="Times New Roman"/>
          <w:noProof/>
          <w:sz w:val="28"/>
          <w:szCs w:val="28"/>
        </w:rPr>
        <w:t>От лица кафедры Финансового права Университета имени О.Е. Кутафина (МГЮА) благодарим</w:t>
      </w:r>
      <w:r w:rsidRPr="008333DE">
        <w:rPr>
          <w:rFonts w:ascii="Times New Roman" w:hAnsi="Times New Roman" w:cs="Times New Roman"/>
          <w:noProof/>
          <w:sz w:val="28"/>
          <w:szCs w:val="28"/>
        </w:rPr>
        <w:t xml:space="preserve"> за участие и интерес к финансовому праву, поздравляем победителей конкурса!</w:t>
      </w:r>
    </w:p>
    <w:p w14:paraId="1E1ECF4C" w14:textId="030C9E28" w:rsidR="008333DE" w:rsidRDefault="008333DE" w:rsidP="008333DE">
      <w:pPr>
        <w:tabs>
          <w:tab w:val="left" w:pos="2568"/>
        </w:tabs>
        <w:ind w:left="142"/>
        <w:jc w:val="both"/>
        <w:rPr>
          <w:rFonts w:ascii="Times New Roman" w:hAnsi="Times New Roman" w:cs="Times New Roman"/>
          <w:noProof/>
          <w:sz w:val="28"/>
          <w:szCs w:val="28"/>
        </w:rPr>
      </w:pPr>
      <w:hyperlink r:id="rId9" w:history="1">
        <w:r w:rsidRPr="00D800E2">
          <w:rPr>
            <w:rStyle w:val="a5"/>
            <w:rFonts w:ascii="Times New Roman" w:hAnsi="Times New Roman" w:cs="Times New Roman"/>
            <w:noProof/>
            <w:sz w:val="28"/>
            <w:szCs w:val="28"/>
          </w:rPr>
          <w:t>https://disk.yandex.ru/d/WGzq7Djqk6Ju1A</w:t>
        </w:r>
      </w:hyperlink>
      <w:r>
        <w:rPr>
          <w:rFonts w:ascii="Times New Roman" w:hAnsi="Times New Roman" w:cs="Times New Roman"/>
          <w:noProof/>
          <w:sz w:val="28"/>
          <w:szCs w:val="28"/>
        </w:rPr>
        <w:t xml:space="preserve"> (ссылка на фото).</w:t>
      </w:r>
    </w:p>
    <w:p w14:paraId="61BCD011" w14:textId="161C135D" w:rsidR="00C87B47" w:rsidRPr="00C87B47" w:rsidRDefault="00F7139A" w:rsidP="008333DE">
      <w:pPr>
        <w:tabs>
          <w:tab w:val="left" w:pos="2568"/>
        </w:tabs>
        <w:ind w:left="142"/>
        <w:jc w:val="both"/>
        <w:rPr>
          <w:rFonts w:ascii="Times New Roman" w:hAnsi="Times New Roman" w:cs="Times New Roman"/>
          <w:noProof/>
          <w:sz w:val="28"/>
          <w:szCs w:val="28"/>
        </w:rPr>
      </w:pPr>
      <w:r>
        <w:rPr>
          <w:rFonts w:ascii="Times New Roman" w:hAnsi="Times New Roman" w:cs="Times New Roman"/>
          <w:noProof/>
          <w:sz w:val="28"/>
          <w:szCs w:val="28"/>
        </w:rPr>
        <w:t xml:space="preserve">Также подписывайтесь на наш </w:t>
      </w:r>
      <w:r>
        <w:rPr>
          <w:rFonts w:ascii="Times New Roman" w:hAnsi="Times New Roman" w:cs="Times New Roman"/>
          <w:noProof/>
          <w:sz w:val="28"/>
          <w:szCs w:val="28"/>
          <w:lang w:val="en-US"/>
        </w:rPr>
        <w:t>Telegram</w:t>
      </w:r>
      <w:r w:rsidRPr="00F7139A">
        <w:rPr>
          <w:rFonts w:ascii="Times New Roman" w:hAnsi="Times New Roman" w:cs="Times New Roman"/>
          <w:noProof/>
          <w:sz w:val="28"/>
          <w:szCs w:val="28"/>
        </w:rPr>
        <w:t xml:space="preserve"> </w:t>
      </w:r>
      <w:r>
        <w:rPr>
          <w:rFonts w:ascii="Times New Roman" w:hAnsi="Times New Roman" w:cs="Times New Roman"/>
          <w:noProof/>
          <w:sz w:val="28"/>
          <w:szCs w:val="28"/>
        </w:rPr>
        <w:t>канал</w:t>
      </w:r>
      <w:r w:rsidRPr="00F7139A">
        <w:rPr>
          <w:rFonts w:ascii="Times New Roman" w:hAnsi="Times New Roman" w:cs="Times New Roman"/>
          <w:noProof/>
          <w:sz w:val="28"/>
          <w:szCs w:val="28"/>
        </w:rPr>
        <w:t xml:space="preserve"> </w:t>
      </w:r>
      <w:r>
        <w:rPr>
          <w:rFonts w:ascii="Times New Roman" w:hAnsi="Times New Roman" w:cs="Times New Roman"/>
          <w:noProof/>
          <w:sz w:val="28"/>
          <w:szCs w:val="28"/>
          <w:lang w:val="en-US"/>
        </w:rPr>
        <w:t>PRO</w:t>
      </w:r>
      <w:r>
        <w:rPr>
          <w:rFonts w:ascii="Times New Roman" w:hAnsi="Times New Roman" w:cs="Times New Roman"/>
          <w:noProof/>
          <w:sz w:val="28"/>
          <w:szCs w:val="28"/>
        </w:rPr>
        <w:t xml:space="preserve">финансы </w:t>
      </w:r>
      <w:hyperlink r:id="rId10" w:history="1">
        <w:r w:rsidRPr="00E3210C">
          <w:rPr>
            <w:rStyle w:val="a5"/>
            <w:rFonts w:ascii="Times New Roman" w:hAnsi="Times New Roman" w:cs="Times New Roman"/>
            <w:noProof/>
            <w:sz w:val="28"/>
            <w:szCs w:val="28"/>
          </w:rPr>
          <w:t>https://t.me/PROfinanceMSAL</w:t>
        </w:r>
      </w:hyperlink>
      <w:r w:rsidRPr="00F7139A">
        <w:rPr>
          <w:rFonts w:ascii="Times New Roman" w:hAnsi="Times New Roman" w:cs="Times New Roman"/>
          <w:noProof/>
          <w:sz w:val="28"/>
          <w:szCs w:val="28"/>
        </w:rPr>
        <w:t xml:space="preserve"> </w:t>
      </w:r>
      <w:r w:rsidR="00C87B47">
        <w:rPr>
          <w:rFonts w:ascii="Times New Roman" w:hAnsi="Times New Roman" w:cs="Times New Roman"/>
          <w:noProof/>
          <w:sz w:val="28"/>
          <w:szCs w:val="28"/>
        </w:rPr>
        <w:t xml:space="preserve"> </w:t>
      </w:r>
      <w:bookmarkStart w:id="0" w:name="_GoBack"/>
      <w:bookmarkEnd w:id="0"/>
    </w:p>
    <w:sectPr w:rsidR="00C87B47" w:rsidRPr="00C87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32DCB"/>
    <w:multiLevelType w:val="hybridMultilevel"/>
    <w:tmpl w:val="FAC856C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45CA0A2F"/>
    <w:multiLevelType w:val="hybridMultilevel"/>
    <w:tmpl w:val="D51C486C"/>
    <w:lvl w:ilvl="0" w:tplc="04190001">
      <w:start w:val="1"/>
      <w:numFmt w:val="bullet"/>
      <w:lvlText w:val=""/>
      <w:lvlJc w:val="left"/>
      <w:pPr>
        <w:ind w:left="222" w:hanging="360"/>
      </w:pPr>
      <w:rPr>
        <w:rFonts w:ascii="Symbol" w:hAnsi="Symbol" w:hint="default"/>
      </w:rPr>
    </w:lvl>
    <w:lvl w:ilvl="1" w:tplc="04190003" w:tentative="1">
      <w:start w:val="1"/>
      <w:numFmt w:val="bullet"/>
      <w:lvlText w:val="o"/>
      <w:lvlJc w:val="left"/>
      <w:pPr>
        <w:ind w:left="942" w:hanging="360"/>
      </w:pPr>
      <w:rPr>
        <w:rFonts w:ascii="Courier New" w:hAnsi="Courier New" w:cs="Courier New" w:hint="default"/>
      </w:rPr>
    </w:lvl>
    <w:lvl w:ilvl="2" w:tplc="04190005" w:tentative="1">
      <w:start w:val="1"/>
      <w:numFmt w:val="bullet"/>
      <w:lvlText w:val=""/>
      <w:lvlJc w:val="left"/>
      <w:pPr>
        <w:ind w:left="1662" w:hanging="360"/>
      </w:pPr>
      <w:rPr>
        <w:rFonts w:ascii="Wingdings" w:hAnsi="Wingdings" w:hint="default"/>
      </w:rPr>
    </w:lvl>
    <w:lvl w:ilvl="3" w:tplc="04190001" w:tentative="1">
      <w:start w:val="1"/>
      <w:numFmt w:val="bullet"/>
      <w:lvlText w:val=""/>
      <w:lvlJc w:val="left"/>
      <w:pPr>
        <w:ind w:left="2382" w:hanging="360"/>
      </w:pPr>
      <w:rPr>
        <w:rFonts w:ascii="Symbol" w:hAnsi="Symbol" w:hint="default"/>
      </w:rPr>
    </w:lvl>
    <w:lvl w:ilvl="4" w:tplc="04190003" w:tentative="1">
      <w:start w:val="1"/>
      <w:numFmt w:val="bullet"/>
      <w:lvlText w:val="o"/>
      <w:lvlJc w:val="left"/>
      <w:pPr>
        <w:ind w:left="3102" w:hanging="360"/>
      </w:pPr>
      <w:rPr>
        <w:rFonts w:ascii="Courier New" w:hAnsi="Courier New" w:cs="Courier New" w:hint="default"/>
      </w:rPr>
    </w:lvl>
    <w:lvl w:ilvl="5" w:tplc="04190005" w:tentative="1">
      <w:start w:val="1"/>
      <w:numFmt w:val="bullet"/>
      <w:lvlText w:val=""/>
      <w:lvlJc w:val="left"/>
      <w:pPr>
        <w:ind w:left="3822" w:hanging="360"/>
      </w:pPr>
      <w:rPr>
        <w:rFonts w:ascii="Wingdings" w:hAnsi="Wingdings" w:hint="default"/>
      </w:rPr>
    </w:lvl>
    <w:lvl w:ilvl="6" w:tplc="04190001" w:tentative="1">
      <w:start w:val="1"/>
      <w:numFmt w:val="bullet"/>
      <w:lvlText w:val=""/>
      <w:lvlJc w:val="left"/>
      <w:pPr>
        <w:ind w:left="4542" w:hanging="360"/>
      </w:pPr>
      <w:rPr>
        <w:rFonts w:ascii="Symbol" w:hAnsi="Symbol" w:hint="default"/>
      </w:rPr>
    </w:lvl>
    <w:lvl w:ilvl="7" w:tplc="04190003" w:tentative="1">
      <w:start w:val="1"/>
      <w:numFmt w:val="bullet"/>
      <w:lvlText w:val="o"/>
      <w:lvlJc w:val="left"/>
      <w:pPr>
        <w:ind w:left="5262" w:hanging="360"/>
      </w:pPr>
      <w:rPr>
        <w:rFonts w:ascii="Courier New" w:hAnsi="Courier New" w:cs="Courier New" w:hint="default"/>
      </w:rPr>
    </w:lvl>
    <w:lvl w:ilvl="8" w:tplc="04190005" w:tentative="1">
      <w:start w:val="1"/>
      <w:numFmt w:val="bullet"/>
      <w:lvlText w:val=""/>
      <w:lvlJc w:val="left"/>
      <w:pPr>
        <w:ind w:left="59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08"/>
    <w:rsid w:val="00023CE3"/>
    <w:rsid w:val="00074238"/>
    <w:rsid w:val="0010415D"/>
    <w:rsid w:val="00144DDA"/>
    <w:rsid w:val="001F6FD7"/>
    <w:rsid w:val="00201BAE"/>
    <w:rsid w:val="0039764B"/>
    <w:rsid w:val="00436643"/>
    <w:rsid w:val="004619F6"/>
    <w:rsid w:val="00550FAF"/>
    <w:rsid w:val="00584CDF"/>
    <w:rsid w:val="006E0B6B"/>
    <w:rsid w:val="00774008"/>
    <w:rsid w:val="008333DE"/>
    <w:rsid w:val="008D400E"/>
    <w:rsid w:val="009A5024"/>
    <w:rsid w:val="00AF6FE4"/>
    <w:rsid w:val="00C87B47"/>
    <w:rsid w:val="00CF23A0"/>
    <w:rsid w:val="00F7139A"/>
    <w:rsid w:val="00FC36B8"/>
    <w:rsid w:val="00FC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8CC8"/>
  <w15:chartTrackingRefBased/>
  <w15:docId w15:val="{60F3FCE2-9B70-431C-8689-8C2D6EB4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3CE3"/>
    <w:pPr>
      <w:ind w:left="720"/>
      <w:contextualSpacing/>
    </w:pPr>
  </w:style>
  <w:style w:type="character" w:styleId="a5">
    <w:name w:val="Hyperlink"/>
    <w:basedOn w:val="a0"/>
    <w:uiPriority w:val="99"/>
    <w:unhideWhenUsed/>
    <w:rsid w:val="00C87B47"/>
    <w:rPr>
      <w:color w:val="0563C1" w:themeColor="hyperlink"/>
      <w:u w:val="single"/>
    </w:rPr>
  </w:style>
  <w:style w:type="character" w:customStyle="1" w:styleId="UnresolvedMention">
    <w:name w:val="Unresolved Mention"/>
    <w:basedOn w:val="a0"/>
    <w:uiPriority w:val="99"/>
    <w:semiHidden/>
    <w:unhideWhenUsed/>
    <w:rsid w:val="00C8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me/PROfinanceMSAL" TargetMode="External"/><Relationship Id="rId4" Type="http://schemas.openxmlformats.org/officeDocument/2006/relationships/webSettings" Target="webSettings.xml"/><Relationship Id="rId9" Type="http://schemas.openxmlformats.org/officeDocument/2006/relationships/hyperlink" Target="https://disk.yandex.ru/d/WGzq7Djqk6Ju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Хромченко</dc:creator>
  <cp:keywords/>
  <dc:description/>
  <cp:lastModifiedBy>LiNOLEUM. RU</cp:lastModifiedBy>
  <cp:revision>2</cp:revision>
  <dcterms:created xsi:type="dcterms:W3CDTF">2024-05-20T13:30:00Z</dcterms:created>
  <dcterms:modified xsi:type="dcterms:W3CDTF">2024-05-20T13:30:00Z</dcterms:modified>
</cp:coreProperties>
</file>