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31" w:rsidRDefault="00793F31" w:rsidP="00DB08D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44"/>
          <w:lang w:eastAsia="ru-RU"/>
        </w:rPr>
      </w:pPr>
      <w:bookmarkStart w:id="0" w:name="_Hlk166699401"/>
      <w:bookmarkStart w:id="1" w:name="_GoBack"/>
      <w:bookmarkEnd w:id="1"/>
    </w:p>
    <w:p w:rsidR="00793F31" w:rsidRDefault="00793F31" w:rsidP="00793F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История государства и права России</w:t>
      </w:r>
    </w:p>
    <w:p w:rsidR="00793F31" w:rsidRDefault="00793F31" w:rsidP="0079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F31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124A">
        <w:rPr>
          <w:rFonts w:ascii="Times New Roman" w:eastAsia="Calibri" w:hAnsi="Times New Roman" w:cs="Times New Roman"/>
          <w:b/>
          <w:bCs/>
          <w:sz w:val="28"/>
          <w:szCs w:val="28"/>
        </w:rPr>
        <w:t>Примерные контрольные вопросы для подготовки к промежуточной аттестации по итогам освоения дисциплины (модуля) (экзамен).</w:t>
      </w:r>
      <w:bookmarkEnd w:id="0"/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1. Объект, методы, цели и историография истории государства и права России.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2. Периодизация истории государства и права России.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3. Происхождение древнерусского феодального государства: альтернативные теории.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4. Формирование государственности у восточных славян: роль военной демократии и процесс объединения протогосударств.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5. Киевская Русь как раннефеодальное образование: организация центрального и регионального управления.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6. Особенности политической системы Киевской Руси.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7. Эволюция древнерусского права и его ключевые источники.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8. Основы древнерусского права: традиционные нормы и судебная практика.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9. Законодательство князей как источник права на Древней Руси: влияние церковных уставов.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10. Роль договоров в правовой системе Древней Руси.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11. Организация церковной власти и судебная компетенция в Киевской Руси: приемы византийского права.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12. Русская Правда: источники, структура и исторические интерпретации.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13. Правовое положение населения в Русской Правде Древней Руси.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14. Вещное, обязательственное и наследственное право в Русской Правде.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15. Преступления и наказания в Русской Правде: определение, разновидности и цели.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16. Судебный процесс и доказательства в Русской Правде.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17. Факторы, способствовавшие феодальной раздробленности в Древней Руси и их последствия.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18. Княжества в условиях политической фрагментации: Киевское, Владимиро-Суздальское, Галицко-Волынское. Развитие феодальной власти.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19. Политическая и социальная организация Новгорода и Пскова в XII-XV веках.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20. Развитие правовой системы в период уделов. Особенности законодательства на северо-западе Руси и Новгородская судная грамота.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21. Происхождение, источники и структура Псковской судной грамоты.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22. Вещное, обязательственное и наследственное право в Псковской судной грамоте.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lastRenderedPageBreak/>
        <w:t>23. Понятие преступлений, их разновидности и цели наказаний в Псковской судной грамоте.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24. Судебная система, процедура и доказательства в Псковской судной грамоте.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25. Этапы и предпосылки формирования русского централизованного государства.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26. Развитие Московского княжества в XII—XIV веках и укрепление власти московских князей.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27. Социально-экономическое и политическое развитие Московского княжества в XII-XV веках и новые государственные идеи.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28. Взаимоотношения Золотой Орды и русских княжеств.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29. Процесс государственной централизации в XIV-XV веках: изменения в политической системе и административных структурах, роль кормлений и боярской думы.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30. Эволюция русского феодального права в XIV-XVI веках: источники, формы законодательства и частные акты.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31. Судебники XV—XVI веков: источники, разработка и систематика правовых норм.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32. Преступления и наказания в судебниках XV—XVI веков: понятие, разновидности и цели.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33. Судебная система, процедура и доказательства в судебниках XV—XVI веков.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34. Вещное, обязательственное и наследственное право в судебниках XV—XVI веков.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35. Стоглав 1551 года: особенности брачно-семейного права.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36. Этапы формирования крепостного права в XV—XVII веках.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37. Сословный состав России в XV—XVII веках: феодальная аристократия, служилые сословия, правовое положение крестьянства, эволюция холопства.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38. Государственные реформы середины XVI века: земские, губные, военно-финансовые меры, опричнина.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39. Социально-экономические и политические основы сословно-представительной монархии в России.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40. Государственное устройство сословно-представительной монархии: царская власть, земские соборы, боярская дума, приказы.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41. Земские соборы в XVI—XVII веках: состав, функции и процедуры работы.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42. Боярская дума в XVI—XVII веках: участники, полномочия и порядок заседаний. Эволюция приказной системы управления.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43. Церковная организация и право в России в XV-XVII веках.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44. Развитие российской государственности в конце XVI—начале XVII веков: период Смутного времени.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45. Местное управление в России в XV-XVII веках: организация и функционирование.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46. Предпосылки, разработка и значение Соборного уложения 1649 года.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lastRenderedPageBreak/>
        <w:t>47. Структура и источники Соборного уложения 1649 года.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48. Правовое положение населения в Соборном уложении 1649 года.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49. Развитие права феодальной собственности в Соборном уложении 1649 года: вотчины, поместья.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 xml:space="preserve">50. Обязательственное, наследственное и брачно-семейное право в Соборном уложении 1649 года. 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51. Соборное Уложение 1649 года: определение, категории преступлений, цели и виды наказаний.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52. Судебная процедура и система доказательств в Соборном Уложении 1649 года.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53. Процесс формирования абсолютной монархии в России: предпосылки, законодательное закрепление, идеология.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54. Особенности и этапы развития абсолютной монархии в России.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55. Государственные реформы первой четверти XVIII века: создание Сената, коллегий, Синода.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56. Создание и развитие системы надзора за соблюдением законности в XVIII веке.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57. Изменения в правовом статусе Русской Православной Церкви в XVIII - первой половине XIX века.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58. Реформы в областном управлении в первой четверти XVIII века и развитие городского самоуправления.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59. Развитие государственной системы во второй четверти XVIII века: Верховный Тайный Совет, Кабинет министров, реорганизация Сената.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 xml:space="preserve">60. "Просвещенный абсолютизм" в России: реформы и законодательная деятельность Екатерины II. 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61. Губернская реформа 1775 года: изменения в судебной и полицейской системах.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62. Государственные реформы и законодательная деятельность Павла I.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63. Развитие государственной системы России в начале XIX века и роль М.М. Сперанского.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64. Эволюция государственной системы России во второй четверти и середине XIX века.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65. Понятие сословия и особенности социальной системы России в первой половине XVIII века.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66. Развитие сословного строя и выдача жалованных грамот дворянству и городам в 1785 году.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67. Правовое положение крестьянства и законодательство о крестьянах в XVIII - первой половине XIX веков.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68. Прогресс права в XVIII веке: формы законодательных актов, формирование отраслевого законодательства, включая гражданское, административное и финансовое право.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69. Эволюция уголовного законодательства в первой четверти XVIII века.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70. Развитие судебно-процессуального права в первой четверти XVIII века.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lastRenderedPageBreak/>
        <w:t>71. Усилия по кодификации в XVIII веке: деятельность Уложенной комиссии Екатерины II.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72. Кодификация русского права в первой половине XIX века.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73. Эволюция уголовного права в первой половине XIX века.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74. Буржуазные реформы 60-70-х годов XIX века: предпосылки и основные направления.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75. Крестьянская реформа 1861 года: подготовка, законодательные акты, этапы и принципы освобождения крестьян.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76. Судебная реформа 1864 года: судебные уставы, организация суда и судебного процесса.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77. Земская реформа 1864 года.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78. Городская реформа 1870 года.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79. Контрреформы 80-90-х годов XIX века: предпосылки, основные направления и концепция "политического консерватизма".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80. Формирование конституционной монархии в России: предпосылки, этапы развития, роль Государственной думы, Государственного совета и Совета министров, а также законодательство о гражданских свободах.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81. Основные государственные законы 1906 года.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82. Государственная дума в России с 1906 по 1917 годы: законодательная деятельность, причины роспуска.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83. Аграрная реформа 1906—1910 годов и деятельность П.А. Столыпина.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84. Февральская революция 1917 года и формирование новой государственной системы.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85. Законодательная политика Временного буржуазного правительства России в 1917 году.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86. II Всероссийский съезд Советов и его решения.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87. Учредительное собрание в России (1917—1918 годы): созыв и причины роспуска.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88. III Всероссийский съезд Советов: декларация прав трудящегося и эксплуатируемого народа.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89. Создание основ советского права: источники права, первые декреты советской власти, кодификация в области семейного, трудового и уголовного права.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90. Конституция РСФСР 1918 года: разработка, структура, организация советской власти, права и обязанности граждан, избирательное право.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91. Создание и развитие советской судебной системы в период 1917–1922 годов.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92. Система репрессивных органов в России в период 1917–1922 годов.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93. Государственно-политическая система в период НЭПа.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94. Задачи и основные направления кодификации советского права в 1922–1924 годах.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95. Гражданский кодекс РСФСР 1922 года: разработка, принятие, основные черты права.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96. Земельный кодекс РСФСР 1922 года.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lastRenderedPageBreak/>
        <w:t>97. Трудовой кодекс РСФСР 1922 года.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98. Создание и основные положения Уголовного кодекса РСФСР 1922 года.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99. Создание социалистического федеративного государства: Конституции СССР 1924 года.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100. Деформация в государственно-политической системе СССР в конце 1920–1930 годов и принятие Конституции СССР 1936 года.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101. Изменения в советском государственном аппарате в годы Великой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Отечественной войны.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102. Основные изменения в трудовом колхозном и семейном праве в годы Великой Отечественной войны.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103. Основные изменения в гражданском праве в годы Великой Отечественной войны.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104. Основные изменения в уголовном и уголовно-процессуальном праве в годы Великой Отечественной войны.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105. Развитие советского государственного аппарата в послевоенные годы и период либерализации общественных отношений (1945 – 1965 гг.).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106. Основные изменения в уголовном праве в послевоенные годы и период либерализации общественных отношений (1945 – 1965 гг.).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107. Основные изменения в уголовно-процессуальном праве в послевоенные годы и период либерализации общественных отношений (1945 – 1965 гг.).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108. Основные изменения в гражданском праве в послевоенные годы и период либерализации общественных отношений (1945 – 1964 гг.).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109. Конституция СССР 1977 г. и Конституция РСФСР 1978 г.</w:t>
      </w:r>
    </w:p>
    <w:p w:rsidR="00793F31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4A">
        <w:rPr>
          <w:rFonts w:ascii="Times New Roman" w:eastAsia="Calibri" w:hAnsi="Times New Roman" w:cs="Times New Roman"/>
          <w:sz w:val="28"/>
          <w:szCs w:val="28"/>
        </w:rPr>
        <w:t>110. Изменения в политической системе СССР в период "перестройки" второй половины 1980-х годов и формирование новой государственности и права Российской Федерации в 1990-е годы: Конституция РФ 1993 года.</w:t>
      </w:r>
    </w:p>
    <w:p w:rsidR="00793F31" w:rsidRPr="00CC124A" w:rsidRDefault="00793F31" w:rsidP="00793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52E5" w:rsidRDefault="00CD52E5" w:rsidP="00793F31">
      <w:pPr>
        <w:pStyle w:val="a6"/>
        <w:numPr>
          <w:ilvl w:val="1"/>
          <w:numId w:val="1"/>
        </w:numPr>
        <w:shd w:val="clear" w:color="auto" w:fill="FFFFFF"/>
        <w:spacing w:after="199"/>
        <w:ind w:left="0" w:firstLine="709"/>
        <w:jc w:val="center"/>
      </w:pPr>
    </w:p>
    <w:sectPr w:rsidR="00CD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AF2" w:rsidRDefault="00096AF2" w:rsidP="00892CCE">
      <w:pPr>
        <w:spacing w:after="0" w:line="240" w:lineRule="auto"/>
      </w:pPr>
      <w:r>
        <w:separator/>
      </w:r>
    </w:p>
  </w:endnote>
  <w:endnote w:type="continuationSeparator" w:id="0">
    <w:p w:rsidR="00096AF2" w:rsidRDefault="00096AF2" w:rsidP="0089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AF2" w:rsidRDefault="00096AF2" w:rsidP="00892CCE">
      <w:pPr>
        <w:spacing w:after="0" w:line="240" w:lineRule="auto"/>
      </w:pPr>
      <w:r>
        <w:separator/>
      </w:r>
    </w:p>
  </w:footnote>
  <w:footnote w:type="continuationSeparator" w:id="0">
    <w:p w:rsidR="00096AF2" w:rsidRDefault="00096AF2" w:rsidP="00892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11DED"/>
    <w:multiLevelType w:val="multilevel"/>
    <w:tmpl w:val="39CC915C"/>
    <w:lvl w:ilvl="0">
      <w:start w:val="1"/>
      <w:numFmt w:val="decimal"/>
      <w:lvlText w:val="%1."/>
      <w:lvlJc w:val="left"/>
      <w:pPr>
        <w:ind w:left="1746" w:hanging="360"/>
      </w:pPr>
    </w:lvl>
    <w:lvl w:ilvl="1">
      <w:start w:val="4"/>
      <w:numFmt w:val="decimal"/>
      <w:isLgl/>
      <w:lvlText w:val="%1.%2."/>
      <w:lvlJc w:val="left"/>
      <w:pPr>
        <w:ind w:left="2106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6" w:hanging="2160"/>
      </w:pPr>
      <w:rPr>
        <w:rFonts w:hint="default"/>
      </w:rPr>
    </w:lvl>
  </w:abstractNum>
  <w:abstractNum w:abstractNumId="1" w15:restartNumberingAfterBreak="0">
    <w:nsid w:val="4F455331"/>
    <w:multiLevelType w:val="hybridMultilevel"/>
    <w:tmpl w:val="7B56EF54"/>
    <w:lvl w:ilvl="0" w:tplc="A852E7C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CE"/>
    <w:rsid w:val="00096AF2"/>
    <w:rsid w:val="00321AD9"/>
    <w:rsid w:val="00793F31"/>
    <w:rsid w:val="00892CCE"/>
    <w:rsid w:val="00BA056B"/>
    <w:rsid w:val="00CD52E5"/>
    <w:rsid w:val="00DB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6278"/>
  <w15:chartTrackingRefBased/>
  <w15:docId w15:val="{1157C1F8-FD40-41EE-A1C8-DDD6ECF8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C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uiPriority w:val="99"/>
    <w:locked/>
    <w:rsid w:val="00892CCE"/>
  </w:style>
  <w:style w:type="paragraph" w:styleId="a4">
    <w:name w:val="footnote text"/>
    <w:basedOn w:val="a"/>
    <w:link w:val="a3"/>
    <w:uiPriority w:val="99"/>
    <w:rsid w:val="00892CCE"/>
    <w:pPr>
      <w:spacing w:after="0" w:line="240" w:lineRule="auto"/>
    </w:pPr>
  </w:style>
  <w:style w:type="character" w:customStyle="1" w:styleId="1">
    <w:name w:val="Текст сноски Знак1"/>
    <w:basedOn w:val="a0"/>
    <w:uiPriority w:val="99"/>
    <w:semiHidden/>
    <w:rsid w:val="00892CCE"/>
    <w:rPr>
      <w:sz w:val="20"/>
      <w:szCs w:val="20"/>
    </w:rPr>
  </w:style>
  <w:style w:type="character" w:styleId="a5">
    <w:name w:val="footnote reference"/>
    <w:basedOn w:val="a0"/>
    <w:unhideWhenUsed/>
    <w:qFormat/>
    <w:rsid w:val="00892CCE"/>
    <w:rPr>
      <w:vertAlign w:val="superscript"/>
    </w:rPr>
  </w:style>
  <w:style w:type="paragraph" w:styleId="a6">
    <w:name w:val="List Paragraph"/>
    <w:aliases w:val="Абзац,ITL List Paragraph,Цветной список - Акцент 13"/>
    <w:basedOn w:val="a"/>
    <w:link w:val="a7"/>
    <w:uiPriority w:val="99"/>
    <w:qFormat/>
    <w:rsid w:val="00892CCE"/>
    <w:pPr>
      <w:ind w:left="720"/>
      <w:contextualSpacing/>
    </w:pPr>
  </w:style>
  <w:style w:type="character" w:customStyle="1" w:styleId="a8">
    <w:name w:val="Верхний колонтитул Знак"/>
    <w:link w:val="a9"/>
    <w:uiPriority w:val="99"/>
    <w:locked/>
    <w:rsid w:val="00892CCE"/>
    <w:rPr>
      <w:sz w:val="24"/>
      <w:szCs w:val="24"/>
    </w:rPr>
  </w:style>
  <w:style w:type="paragraph" w:styleId="a9">
    <w:name w:val="header"/>
    <w:basedOn w:val="a"/>
    <w:link w:val="a8"/>
    <w:uiPriority w:val="99"/>
    <w:rsid w:val="00892CC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892CCE"/>
  </w:style>
  <w:style w:type="character" w:customStyle="1" w:styleId="a7">
    <w:name w:val="Абзац списка Знак"/>
    <w:aliases w:val="Абзац Знак,ITL List Paragraph Знак,Цветной список - Акцент 13 Знак"/>
    <w:link w:val="a6"/>
    <w:uiPriority w:val="99"/>
    <w:qFormat/>
    <w:locked/>
    <w:rsid w:val="00892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Тавказахова Мадина Станиславовна</dc:creator>
  <cp:keywords/>
  <dc:description/>
  <cp:lastModifiedBy>Тавказахова Мадина Станиславовна</cp:lastModifiedBy>
  <cp:revision>2</cp:revision>
  <dcterms:created xsi:type="dcterms:W3CDTF">2024-11-21T10:24:00Z</dcterms:created>
  <dcterms:modified xsi:type="dcterms:W3CDTF">2024-11-21T10:24:00Z</dcterms:modified>
</cp:coreProperties>
</file>