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9C" w:rsidRDefault="00570E9C" w:rsidP="00570E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Приложение № 4.</w:t>
      </w:r>
    </w:p>
    <w:p w:rsidR="00570E9C" w:rsidRDefault="00570E9C" w:rsidP="00570E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к плану воспитательной работы</w:t>
      </w:r>
    </w:p>
    <w:p w:rsidR="00570E9C" w:rsidRDefault="00570E9C" w:rsidP="00570E9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обучающимися ВУЦ при МГЮА им. О.Е. </w:t>
      </w:r>
      <w:proofErr w:type="spellStart"/>
      <w:r>
        <w:rPr>
          <w:sz w:val="24"/>
          <w:szCs w:val="24"/>
        </w:rPr>
        <w:t>Кутафина</w:t>
      </w:r>
      <w:proofErr w:type="spellEnd"/>
    </w:p>
    <w:p w:rsidR="00570E9C" w:rsidRDefault="00570E9C" w:rsidP="00570E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на 2025 – 2026 учебный год.</w:t>
      </w:r>
    </w:p>
    <w:p w:rsidR="00570E9C" w:rsidRDefault="00570E9C" w:rsidP="00570E9C">
      <w:pPr>
        <w:spacing w:after="120"/>
        <w:ind w:left="-266"/>
        <w:jc w:val="center"/>
        <w:rPr>
          <w:sz w:val="28"/>
          <w:szCs w:val="28"/>
        </w:rPr>
      </w:pPr>
    </w:p>
    <w:p w:rsidR="00570E9C" w:rsidRDefault="00570E9C" w:rsidP="00570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</w:t>
      </w:r>
      <w:r>
        <w:rPr>
          <w:b/>
          <w:sz w:val="28"/>
          <w:szCs w:val="28"/>
        </w:rPr>
        <w:br/>
        <w:t>индивидуальных бесед с обучающимися в 2025-2026 учебном году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15"/>
        <w:gridCol w:w="2835"/>
      </w:tblGrid>
      <w:tr w:rsidR="00570E9C" w:rsidTr="00570E9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Авторитет младших командиров.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в воинском коллективе как фактор успешности выполнения служебных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негативной информации на психику обучающегося.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служба как особый вид государственной службы.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этикет и культура общения обучающихся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Дисциплинированность важнейшее качество личности обучающегося в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необходимости занятием спортом и пропаганде активного образа жизни.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проблемах и трудностях на занятиях в ВУЦ, отношение в коллективе.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вреде употребления табачных изделий и их последствиях.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воинской славы России (Великие дни России).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и нравственное воспитание  обучающегося в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Индивидуально-воспитательная работа во взводе. Формы и методы индивидуального воспитания подчинённых.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общения обучающихся в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и этика поведения обучающегося в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 воинского коллектива.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Патриотизм истоки, традиции, значение в деле укрепления воинского коллектива.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 Российской Федерации о материальной ответственности военнослужащих.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и дисциплинарная ответственность обучающихся.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Уставные правила взаимоотношений между военнослужащими – важнейшее условие сплочённости и дисциплины воинского коллектива.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Общевоинских уставов ВС РФ по созданию и обеспечению безопасных условий военной службы.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и воинские ритуалы в Вооруженных Силах Российской Федерации.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негативной информации на психику обучающегося.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в воинском коллективе как фактор успешности выполнения служебных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вреде применения наркотических и психотропных веществ.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общения обучающихся в ВУЦ.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и этика поведения обучающегося на учебном сборе.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 г.</w:t>
            </w:r>
          </w:p>
        </w:tc>
      </w:tr>
      <w:tr w:rsidR="00570E9C" w:rsidTr="00570E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Дисциплинированность важнейшее качество личности обучающегося на учебном сборе.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9C" w:rsidRDefault="00570E9C">
            <w:pPr>
              <w:tabs>
                <w:tab w:val="left" w:pos="4253"/>
                <w:tab w:val="left" w:pos="4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570E9C" w:rsidRDefault="00570E9C" w:rsidP="00570E9C">
      <w:pPr>
        <w:spacing w:after="120"/>
        <w:ind w:left="-266"/>
        <w:jc w:val="center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570E9C" w:rsidRDefault="00570E9C" w:rsidP="00570E9C">
      <w:pPr>
        <w:spacing w:after="120"/>
        <w:ind w:left="-266"/>
        <w:jc w:val="right"/>
        <w:rPr>
          <w:sz w:val="28"/>
          <w:szCs w:val="28"/>
        </w:rPr>
      </w:pPr>
    </w:p>
    <w:p w:rsidR="008F1D4E" w:rsidRDefault="00DA4901"/>
    <w:sectPr w:rsidR="008F1D4E" w:rsidSect="00570E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0F"/>
    <w:rsid w:val="003A210F"/>
    <w:rsid w:val="00570E9C"/>
    <w:rsid w:val="009F23C1"/>
    <w:rsid w:val="00C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7B7B0-8A7E-4585-A34F-AE98A92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Масычева Лариса Алексеевна</dc:creator>
  <cp:keywords/>
  <dc:description/>
  <cp:lastModifiedBy>Масычева Лариса Алексеевна</cp:lastModifiedBy>
  <cp:revision>3</cp:revision>
  <dcterms:created xsi:type="dcterms:W3CDTF">2025-11-01T10:03:00Z</dcterms:created>
  <dcterms:modified xsi:type="dcterms:W3CDTF">2025-11-01T10:03:00Z</dcterms:modified>
</cp:coreProperties>
</file>