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2F" w:rsidRDefault="008B212F" w:rsidP="008B212F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 2</w:t>
      </w:r>
    </w:p>
    <w:p w:rsidR="008B212F" w:rsidRDefault="008B212F" w:rsidP="008B212F">
      <w:pPr>
        <w:tabs>
          <w:tab w:val="left" w:pos="1701"/>
        </w:tabs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12F" w:rsidRPr="008B212F" w:rsidRDefault="008B212F" w:rsidP="008B212F">
      <w:pPr>
        <w:tabs>
          <w:tab w:val="left" w:pos="1701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:rsidR="008B212F" w:rsidRPr="008B212F" w:rsidRDefault="008B212F" w:rsidP="008B212F">
      <w:pPr>
        <w:tabs>
          <w:tab w:val="left" w:pos="1701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подготовке отдельных типов уникальных </w:t>
      </w:r>
    </w:p>
    <w:p w:rsidR="008B212F" w:rsidRPr="008B212F" w:rsidRDefault="008B212F" w:rsidP="008B212F">
      <w:pPr>
        <w:tabs>
          <w:tab w:val="left" w:pos="1701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продуктов и результатов</w:t>
      </w:r>
    </w:p>
    <w:p w:rsidR="008B212F" w:rsidRPr="008B212F" w:rsidRDefault="008B212F" w:rsidP="008B212F">
      <w:pPr>
        <w:tabs>
          <w:tab w:val="left" w:pos="1701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4219"/>
        <w:gridCol w:w="6662"/>
        <w:gridCol w:w="3969"/>
      </w:tblGrid>
      <w:tr w:rsidR="008B212F" w:rsidRPr="008B212F" w:rsidTr="001725D0">
        <w:tc>
          <w:tcPr>
            <w:tcW w:w="4219" w:type="dxa"/>
          </w:tcPr>
          <w:p w:rsidR="008B212F" w:rsidRPr="008B212F" w:rsidRDefault="008B212F" w:rsidP="008B212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>Вид уникального продукта (результата)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>Типовые продукты (результаты)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B212F" w:rsidRPr="008B212F" w:rsidTr="001725D0"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 xml:space="preserve">Научный / </w:t>
            </w:r>
          </w:p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>научно-исследовательский /</w:t>
            </w:r>
          </w:p>
          <w:p w:rsidR="008B212F" w:rsidRPr="008B212F" w:rsidRDefault="008B212F" w:rsidP="008B212F">
            <w:pPr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 xml:space="preserve">научно-аналитический продукт – </w:t>
            </w:r>
            <w:r w:rsidRPr="008B212F">
              <w:rPr>
                <w:sz w:val="24"/>
                <w:szCs w:val="24"/>
                <w:lang w:eastAsia="ru-RU"/>
              </w:rPr>
              <w:t>инновационное фундаментальное или прикладное исследование в рамках стратегического проекта Программы развития, направленное на получение и применение новых знаний, решение большой научной задачи, обладающее значительной новизной, формирующее новую предметную область, имеющее междисциплинарный характер.</w:t>
            </w:r>
          </w:p>
          <w:p w:rsidR="008B212F" w:rsidRPr="008B212F" w:rsidRDefault="008B212F" w:rsidP="008B212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6"/>
              </w:numPr>
              <w:tabs>
                <w:tab w:val="left" w:pos="204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sz w:val="24"/>
                <w:szCs w:val="24"/>
                <w:lang w:eastAsia="ru-RU"/>
              </w:rPr>
              <w:t xml:space="preserve">монография, в форме которой оформлено проведение: </w:t>
            </w:r>
          </w:p>
          <w:p w:rsidR="008B212F" w:rsidRPr="008B212F" w:rsidRDefault="008B212F" w:rsidP="008B212F">
            <w:pPr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sz w:val="24"/>
                <w:szCs w:val="24"/>
                <w:lang w:eastAsia="ru-RU"/>
              </w:rPr>
              <w:t>- фундаментального научного исследования, направленного на получение новых знаний о правовых основах и закономерностях развития и нормативного регулирования функционирования человека, общества, социальных систем, государства, мироустройства; или</w:t>
            </w:r>
          </w:p>
          <w:p w:rsidR="008B212F" w:rsidRPr="008B212F" w:rsidRDefault="008B212F" w:rsidP="008B212F">
            <w:pPr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sz w:val="24"/>
                <w:szCs w:val="24"/>
                <w:lang w:eastAsia="ru-RU"/>
              </w:rPr>
              <w:t>- прикладного научного исследования, направленного преимущественно на применение новых юридических знаний для достижения практических целей и решения конкретных задач, соотносимых с национальными целями Российской Федерации;</w:t>
            </w:r>
          </w:p>
          <w:p w:rsidR="008B212F" w:rsidRPr="008B212F" w:rsidRDefault="008B212F" w:rsidP="008B212F">
            <w:pPr>
              <w:numPr>
                <w:ilvl w:val="0"/>
                <w:numId w:val="6"/>
              </w:numPr>
              <w:tabs>
                <w:tab w:val="left" w:pos="204"/>
              </w:tabs>
              <w:ind w:left="0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sz w:val="24"/>
                <w:szCs w:val="24"/>
                <w:lang w:eastAsia="ru-RU"/>
              </w:rPr>
              <w:t xml:space="preserve">научное исследование, проведенное под запрос представителей государственной власти, предприятий и организаций реального сектора экономики и пр., принятое заказчиком; </w:t>
            </w:r>
          </w:p>
          <w:p w:rsidR="008B212F" w:rsidRPr="008B212F" w:rsidRDefault="008B212F" w:rsidP="008B212F">
            <w:pPr>
              <w:numPr>
                <w:ilvl w:val="0"/>
                <w:numId w:val="6"/>
              </w:numPr>
              <w:tabs>
                <w:tab w:val="left" w:pos="204"/>
              </w:tabs>
              <w:ind w:left="0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color w:val="000000"/>
                <w:sz w:val="24"/>
                <w:szCs w:val="24"/>
                <w:lang w:eastAsia="ru-RU"/>
              </w:rPr>
              <w:t xml:space="preserve">научно-технический результат (продукт) </w:t>
            </w:r>
            <w:r w:rsidRPr="008B212F">
              <w:rPr>
                <w:sz w:val="24"/>
                <w:szCs w:val="24"/>
                <w:lang w:eastAsia="ru-RU"/>
              </w:rPr>
              <w:t>–</w:t>
            </w:r>
            <w:r w:rsidRPr="008B212F">
              <w:rPr>
                <w:color w:val="000000"/>
                <w:sz w:val="24"/>
                <w:szCs w:val="24"/>
                <w:lang w:eastAsia="ru-RU"/>
              </w:rPr>
              <w:t xml:space="preserve"> продукт научной и (или) научно-технической деятельности, содержащий новые знания или решения, </w:t>
            </w:r>
            <w:r w:rsidRPr="008B212F">
              <w:rPr>
                <w:sz w:val="24"/>
                <w:szCs w:val="24"/>
                <w:lang w:eastAsia="ru-RU"/>
              </w:rPr>
              <w:t>в том числе результат интеллектуальной деятельности, предназначенный для реализации и</w:t>
            </w:r>
            <w:r w:rsidRPr="008B212F">
              <w:rPr>
                <w:color w:val="000000"/>
                <w:sz w:val="24"/>
                <w:szCs w:val="24"/>
                <w:lang w:eastAsia="ru-RU"/>
              </w:rPr>
              <w:t xml:space="preserve"> зафиксированный на любом информационном носителе</w:t>
            </w:r>
            <w:r w:rsidRPr="008B212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6"/>
              </w:numPr>
              <w:tabs>
                <w:tab w:val="left" w:pos="204"/>
              </w:tabs>
              <w:ind w:left="63" w:hanging="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sz w:val="24"/>
                <w:szCs w:val="24"/>
                <w:lang w:eastAsia="ru-RU"/>
              </w:rPr>
              <w:t>целесообразна подготовка с привлечением участников Консорциума «Инновационная юриспруденция», сетей партнерств Университета;</w:t>
            </w:r>
          </w:p>
          <w:p w:rsidR="008B212F" w:rsidRPr="008B212F" w:rsidRDefault="008B212F" w:rsidP="008B212F">
            <w:pPr>
              <w:numPr>
                <w:ilvl w:val="0"/>
                <w:numId w:val="6"/>
              </w:numPr>
              <w:tabs>
                <w:tab w:val="left" w:pos="204"/>
              </w:tabs>
              <w:ind w:left="63" w:hanging="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sz w:val="24"/>
                <w:szCs w:val="24"/>
                <w:lang w:eastAsia="ru-RU"/>
              </w:rPr>
              <w:t>результаты / продукты должны быть апробированы на научных конференциях, форумах в рамках широкого научного обсуждения с привлечением представителей разных научных школ, а также индустрии;</w:t>
            </w:r>
          </w:p>
          <w:p w:rsidR="008B212F" w:rsidRPr="008B212F" w:rsidRDefault="008B212F" w:rsidP="008B212F">
            <w:pPr>
              <w:numPr>
                <w:ilvl w:val="0"/>
                <w:numId w:val="6"/>
              </w:numPr>
              <w:tabs>
                <w:tab w:val="left" w:pos="34"/>
                <w:tab w:val="left" w:pos="204"/>
              </w:tabs>
              <w:ind w:left="63" w:hanging="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sz w:val="24"/>
                <w:szCs w:val="24"/>
                <w:lang w:eastAsia="ru-RU"/>
              </w:rPr>
              <w:t>целесообразна популяризация результатов научного исследования с использованием СМИ и Интернет-ресурсов;</w:t>
            </w:r>
          </w:p>
          <w:p w:rsidR="008B212F" w:rsidRPr="008B212F" w:rsidRDefault="008B212F" w:rsidP="008B212F">
            <w:pPr>
              <w:numPr>
                <w:ilvl w:val="0"/>
                <w:numId w:val="6"/>
              </w:numPr>
              <w:tabs>
                <w:tab w:val="left" w:pos="204"/>
              </w:tabs>
              <w:ind w:left="63" w:hanging="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sz w:val="24"/>
                <w:szCs w:val="24"/>
                <w:lang w:eastAsia="ru-RU"/>
              </w:rPr>
              <w:t xml:space="preserve">в соответствии с Программой развития запрещено финансирование тех научных проектов и продуктов, по которым получено иное денежное финансирование, в том числе в виде грантов. </w:t>
            </w:r>
          </w:p>
        </w:tc>
      </w:tr>
      <w:tr w:rsidR="008B212F" w:rsidRPr="008B212F" w:rsidTr="001725D0"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lastRenderedPageBreak/>
              <w:t xml:space="preserve">Образовательный продукт – </w:t>
            </w:r>
            <w:r w:rsidRPr="008B212F">
              <w:rPr>
                <w:sz w:val="24"/>
                <w:szCs w:val="24"/>
                <w:lang w:eastAsia="ru-RU"/>
              </w:rPr>
              <w:t>новый компонент образовательной программы, разработанный и внедренный в образовательный процесс Университета или партнеров Университета, а также новая методика осуществления образовательного процесса, подлежащая тиражированию, направленная на принципиальные изменения в образовательной политике Университета и юридических вузов и факультетов страны.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64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 xml:space="preserve">новая или существенным образом переработанная образовательная программа, сетевая программа, дисциплина, программа практики, иной компонент образовательной программы, формирующая опережающее образование, направленная на интегрирование научных достижений в образовательный процесс, дающая новые знания и навыки, нацеленная на подготовку уникальных специалистов и соотносимая с содержанием Программы развития; </w:t>
            </w:r>
          </w:p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64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 xml:space="preserve">образовательная методика, привносящая новые </w:t>
            </w:r>
            <w:r w:rsidRPr="008B212F">
              <w:rPr>
                <w:sz w:val="24"/>
                <w:szCs w:val="24"/>
              </w:rPr>
              <w:t xml:space="preserve">методы, форматы и логистику учебного процесса, выстраиваемая с учетом междисциплинарности и содержания Программы развития; </w:t>
            </w:r>
          </w:p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64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</w:rPr>
              <w:t>онлайн-курс, подготовленный с использованием ресурсов Университета или заказчика онлайн-курса, в соответствии с Программой развития и требованиями, установленными Институтом сетевого и онлайн-образования Университета или заказчиком.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88"/>
              </w:tabs>
              <w:ind w:left="63" w:hanging="6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оформляется в форме внесения изменений в учебный план; разработки новой образовательной программы и осуществления набора на нее; подготовки учебно-методической документации, РПУД; образовательной методики; серии публикаций и пр.;</w:t>
            </w:r>
          </w:p>
          <w:p w:rsidR="008B212F" w:rsidRPr="008B212F" w:rsidRDefault="008B212F" w:rsidP="008B212F">
            <w:pPr>
              <w:numPr>
                <w:ilvl w:val="0"/>
                <w:numId w:val="6"/>
              </w:numPr>
              <w:tabs>
                <w:tab w:val="left" w:pos="288"/>
              </w:tabs>
              <w:ind w:left="63" w:hanging="6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rFonts w:eastAsia="Calibri"/>
                <w:sz w:val="24"/>
                <w:szCs w:val="24"/>
              </w:rPr>
              <w:t xml:space="preserve">могут быть подготовлены под запрос и (или) </w:t>
            </w:r>
            <w:r w:rsidRPr="008B212F">
              <w:rPr>
                <w:sz w:val="24"/>
                <w:szCs w:val="24"/>
                <w:lang w:eastAsia="ru-RU"/>
              </w:rPr>
              <w:t xml:space="preserve">с привлечением ресурсов представителей </w:t>
            </w:r>
            <w:r w:rsidRPr="008B212F">
              <w:rPr>
                <w:rFonts w:eastAsia="Calibri"/>
                <w:sz w:val="24"/>
                <w:szCs w:val="24"/>
              </w:rPr>
              <w:t>Консорциума «Инновационная юриспруденция»</w:t>
            </w:r>
            <w:r w:rsidRPr="008B212F">
              <w:rPr>
                <w:sz w:val="24"/>
                <w:szCs w:val="24"/>
                <w:lang w:eastAsia="ru-RU"/>
              </w:rPr>
              <w:t>, сетей партнерств Университета.</w:t>
            </w:r>
          </w:p>
        </w:tc>
      </w:tr>
      <w:tr w:rsidR="008B212F" w:rsidRPr="008B212F" w:rsidTr="001725D0"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color w:val="212529"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 xml:space="preserve">Дополнительная профессиональная образовательная программа – </w:t>
            </w:r>
            <w:r w:rsidRPr="008B212F">
              <w:rPr>
                <w:sz w:val="24"/>
                <w:szCs w:val="24"/>
                <w:lang w:eastAsia="ru-RU"/>
              </w:rPr>
              <w:t xml:space="preserve">новая программа повышения квалификации / программа профессиональной переподготовки, </w:t>
            </w:r>
            <w:r w:rsidRPr="008B212F">
              <w:rPr>
                <w:color w:val="212529"/>
                <w:sz w:val="24"/>
                <w:szCs w:val="24"/>
                <w:lang w:eastAsia="ru-RU"/>
              </w:rPr>
              <w:t>направленная на непрерывное повышение квалификации и профессиональную переподготовку лиц, имеющих профессиональное образование, за пределами основных образовательных программ, в соответствии с Программой развития.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 xml:space="preserve">новая программа ДПО для обучающихся, реализуемая в очном, гибридном или онлайн-формате, в том числе в виде онлайн-курса, направленная на получение знаний и развитие навыков, дополнительных компетенций за пределами основных образовательных программ, в том числе в области предпринимательства, </w:t>
            </w:r>
            <w:r w:rsidRPr="008B212F">
              <w:rPr>
                <w:rFonts w:eastAsia="Calibri"/>
                <w:sz w:val="24"/>
                <w:szCs w:val="24"/>
                <w:lang w:val="en-US"/>
              </w:rPr>
              <w:t>IT</w:t>
            </w:r>
            <w:r w:rsidRPr="008B212F">
              <w:rPr>
                <w:rFonts w:eastAsia="Calibri"/>
                <w:sz w:val="24"/>
                <w:szCs w:val="24"/>
              </w:rPr>
              <w:t>, управления проектами, языковых навыков и т.д.;</w:t>
            </w:r>
          </w:p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64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новая или существенным образом переработанная программа ДПО, реализуемая для лиц, имеющих профессиональное образование, в том числе под запрос партнеров Университета, в очном, гибридном или онлайн-формате, в том числе в виде онлайн-курса.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4"/>
              </w:tabs>
              <w:spacing w:after="100" w:afterAutospacing="1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осуществляется в форме разработки программы ДПО и набора на нее;</w:t>
            </w:r>
          </w:p>
          <w:p w:rsidR="008B212F" w:rsidRPr="008B212F" w:rsidRDefault="008B212F" w:rsidP="008B21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24"/>
              </w:tabs>
              <w:spacing w:after="100" w:afterAutospacing="1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программа ДПО утверждается на заседании Ученого совета.</w:t>
            </w:r>
          </w:p>
        </w:tc>
      </w:tr>
      <w:tr w:rsidR="008B212F" w:rsidRPr="008B212F" w:rsidTr="001725D0">
        <w:trPr>
          <w:trHeight w:val="1211"/>
        </w:trPr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 xml:space="preserve">Учебный и учебно-методический продукт 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 xml:space="preserve">инновационный учебник / учебное пособие / практикум / электронный учебник и иные электронные образовательные ресурсы (за исключением онлайн-курсов), обеспечивающие </w:t>
            </w:r>
            <w:r w:rsidRPr="008B212F">
              <w:rPr>
                <w:rFonts w:eastAsia="Calibri"/>
                <w:sz w:val="24"/>
                <w:szCs w:val="24"/>
              </w:rPr>
              <w:lastRenderedPageBreak/>
              <w:t>реализацию образовательных продуктов, подготовленных в соответствии с Программой развития.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lastRenderedPageBreak/>
              <w:t xml:space="preserve">может быть подготовлен с привлечением представителей Консорциума «Инновационная </w:t>
            </w:r>
            <w:r w:rsidRPr="008B212F">
              <w:rPr>
                <w:rFonts w:eastAsia="Calibri"/>
                <w:sz w:val="24"/>
                <w:szCs w:val="24"/>
              </w:rPr>
              <w:lastRenderedPageBreak/>
              <w:t>юриспруденция», сетей партнерств Университета;</w:t>
            </w:r>
          </w:p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является результатом интеграции фундаментальных / прикладных исследований Университета в образовательный процесс;</w:t>
            </w:r>
          </w:p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64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электронный учебник и иные электронные образовательные ресурсы должны быть оформлены в соответствии с требованиями, предъявляемыми Институтом сетевого и онлайн-образования.</w:t>
            </w:r>
          </w:p>
        </w:tc>
      </w:tr>
      <w:tr w:rsidR="008B212F" w:rsidRPr="008B212F" w:rsidTr="001725D0"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>Проектно-правовые результаты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правовые экспертизы законопроектов, разработка предложений и рекомендации по совершенствованию законодательства и (или) правоприменительной практики;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предложения по формированию правовых позиций Российской Федерации;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проекты законов и иных нормативных правовых актов, международных договоров и конвенций, пакета документов, трансформирующих имеющуюся нормативную среду;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методики оценки правовых рисков по инновационным областям права.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подготовлены на основе полученного/выявленного запроса от участника Консорциума «Инновационная юриспруденция», международной организации, представителя индустрии, государственного органа, научной, образовательной или иной организации (обязательно предоставление ответного письма, содержащего оценку результатов / продуктов).</w:t>
            </w:r>
          </w:p>
        </w:tc>
      </w:tr>
      <w:tr w:rsidR="008B212F" w:rsidRPr="008B212F" w:rsidTr="001725D0"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>Аналитические результаты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документы аналитического характера (аналитические доклады);</w:t>
            </w:r>
          </w:p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документы научно-практического характера (меморандумы/резолюции</w:t>
            </w:r>
            <w:r w:rsidRPr="008B212F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  <w:r w:rsidRPr="008B212F">
              <w:rPr>
                <w:rFonts w:eastAsia="Calibri"/>
                <w:sz w:val="24"/>
                <w:szCs w:val="24"/>
              </w:rPr>
              <w:t xml:space="preserve">, предложения и методические </w:t>
            </w:r>
            <w:r w:rsidRPr="008B212F">
              <w:rPr>
                <w:rFonts w:eastAsia="Calibri"/>
                <w:sz w:val="24"/>
                <w:szCs w:val="24"/>
              </w:rPr>
              <w:lastRenderedPageBreak/>
              <w:t>рекомендации, направляемые в госорганы и (или) организации и т.п.), в том числе по итогам проведения стратегических, форсайт- и дизайн-сессий, иных научно-практических мероприятий с вовлечением представителей индустрии.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lastRenderedPageBreak/>
              <w:t xml:space="preserve">подготовлены на основе полученного/выявленного запроса от участника Консорциума «Инновационная юриспруденция», </w:t>
            </w:r>
            <w:r w:rsidRPr="008B212F">
              <w:rPr>
                <w:rFonts w:eastAsia="Calibri"/>
                <w:sz w:val="24"/>
                <w:szCs w:val="24"/>
              </w:rPr>
              <w:lastRenderedPageBreak/>
              <w:t>международной организации, представителя индустрии, государственного органа, научной, образовательной или иной организации (обязательно предоставление ответного письма, содержащего оценку результатов / продуктов);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в случае отсутствия запроса: размещены на портале «Маркетплейс МГЮА»;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минимальный объем аналитического доклада (без учета приложений) – 1,5 п.л.;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минимальный объем меморандумов / резолюций (без учета приложений) – 0,5 п.л.;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минимальный объем иных документов научно-практического характера (без учета приложений) – 1 п.л.</w:t>
            </w:r>
          </w:p>
        </w:tc>
      </w:tr>
      <w:tr w:rsidR="008B212F" w:rsidRPr="008B212F" w:rsidTr="001725D0">
        <w:tc>
          <w:tcPr>
            <w:tcW w:w="4219" w:type="dxa"/>
            <w:vMerge w:val="restart"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 xml:space="preserve">Продукт в области предпринимательской и инновационной деятельности 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правовые инновационные практико-ориентированные решения для индустрии в предметной области стратегического проекта: юридические алгоритмы, инструменты юридического сопровождения управления инновациями, методики, кейс-обзоры, «белые книги», рекомендации, справочники, обзоры судебной/арбитражной практики, сборники практик и пр. (с последующей коммерциализацией);</w:t>
            </w:r>
          </w:p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lastRenderedPageBreak/>
              <w:t>атласы, дорожные карты справочно-просветительского, прогностического характера (новых юридических профессий, угроз информационной безопасности и т.п.).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lastRenderedPageBreak/>
              <w:t>должны быть размещены на портале «Маркетплейс МГЮА».</w:t>
            </w:r>
          </w:p>
        </w:tc>
      </w:tr>
      <w:tr w:rsidR="008B212F" w:rsidRPr="008B212F" w:rsidTr="001725D0">
        <w:tc>
          <w:tcPr>
            <w:tcW w:w="4219" w:type="dxa"/>
            <w:vMerge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 xml:space="preserve">экспертиза и консалтинг (оплата за счет Заказчика): 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научно-консультационные (правовые) заключения;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рецензии на судебные и внесудебные экспертизы;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письменные и устные юридические консультации;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заключения специалистов;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внесудебные исследования;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проекты процессуальных и иных юридических документов;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письменные и устные переводы юридических документов и иных материалов научно-правовой направленности с иностранного языка на русский, с русского языка на иностранный, либо с иностранного языка на иностранный;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дорожные карты юридического сопровождения различных видов деятельности;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научно-практические и экспертно-аналитические материалы;</w:t>
            </w:r>
          </w:p>
          <w:p w:rsidR="008B212F" w:rsidRPr="008B212F" w:rsidRDefault="008B212F" w:rsidP="008B212F">
            <w:pPr>
              <w:tabs>
                <w:tab w:val="left" w:pos="228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проекты нормативных правовых и локальных нормативных актов, а также обоснования к ним;</w:t>
            </w:r>
          </w:p>
          <w:p w:rsidR="008B212F" w:rsidRPr="008B212F" w:rsidRDefault="008B212F" w:rsidP="008B212F">
            <w:pPr>
              <w:tabs>
                <w:tab w:val="left" w:pos="228"/>
              </w:tabs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sz w:val="24"/>
                <w:szCs w:val="24"/>
                <w:lang w:eastAsia="ru-RU"/>
              </w:rPr>
              <w:t>- </w:t>
            </w:r>
            <w:r w:rsidRPr="008B212F">
              <w:rPr>
                <w:rFonts w:eastAsia="Calibri"/>
                <w:sz w:val="24"/>
                <w:szCs w:val="24"/>
              </w:rPr>
              <w:t>иные результаты.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в соответствии с требованиями, содержащимися в Положении о порядке оказания научно-консалтинговых услуг федеральным государственным бюджетным образовательным учреждением высшего образования «Московский государственный юридический университет имени О.Е. Кутафина (МГЮА)».</w:t>
            </w:r>
          </w:p>
        </w:tc>
      </w:tr>
      <w:tr w:rsidR="008B212F" w:rsidRPr="008B212F" w:rsidTr="001725D0"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>Документы стратегического характера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Стратегия – документ стратегического характера, разрабатываемый в целях перспективного планирования деятельности и определяющий, как правило, направления, приоритеты, цели, задачи, а также целевые показатели, мероприятия и механизмы их реализации с учетом ограничений и рисков при их достижении в определенной сфере, области, отрасли деятельности на долгосрочный период.</w:t>
            </w:r>
          </w:p>
          <w:p w:rsidR="008B212F" w:rsidRPr="008B212F" w:rsidRDefault="008B212F" w:rsidP="008B212F">
            <w:pPr>
              <w:numPr>
                <w:ilvl w:val="0"/>
                <w:numId w:val="3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 xml:space="preserve">Концепция – документ стратегического характера, разрабатываемый на основе анализа российских и общемировых трендов и, как правило, представляющий систему взглядов на базовые принципы, приоритетные </w:t>
            </w:r>
            <w:r w:rsidRPr="008B212F">
              <w:rPr>
                <w:rFonts w:eastAsia="Calibri"/>
                <w:sz w:val="24"/>
                <w:szCs w:val="24"/>
              </w:rPr>
              <w:lastRenderedPageBreak/>
              <w:t>направления, цели и задачи развития определенной сферы, области, отрасли деятельности на долгосрочный период.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lastRenderedPageBreak/>
              <w:t>подготовлены на основе полученного запроса от участника Консорциума «Инновационная юриспруденция» / международной организации / представителя индустрии / государственного органа / научной / образовательной или иной организации;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направлены на содействие достижению национальных целей развития РФ;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минимальный объем документа (без учета приложений) – 1 п.л.</w:t>
            </w:r>
          </w:p>
        </w:tc>
      </w:tr>
      <w:tr w:rsidR="008B212F" w:rsidRPr="008B212F" w:rsidTr="001725D0">
        <w:trPr>
          <w:trHeight w:val="1467"/>
        </w:trPr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>Цифровой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правовые базы данных;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технические задания, обеспечивающие реализацию концепции (инновационной справочно-правовой системы / технического решения / экспертной системы / функционирования онлайн-платформы);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IT-сервисы, в том числе LegalTech- и LawTech-сервисы (чат-боты и пр.);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 xml:space="preserve">прикладные программные продукты, в том числе ПО для </w:t>
            </w:r>
            <w:r w:rsidRPr="008B212F">
              <w:rPr>
                <w:rFonts w:eastAsia="Calibri"/>
                <w:sz w:val="24"/>
                <w:szCs w:val="24"/>
                <w:lang w:val="en-US"/>
              </w:rPr>
              <w:t>VR</w:t>
            </w:r>
            <w:r w:rsidRPr="008B212F">
              <w:rPr>
                <w:rFonts w:eastAsia="Calibri"/>
                <w:sz w:val="24"/>
                <w:szCs w:val="24"/>
              </w:rPr>
              <w:t>-лаборатории и др.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tabs>
                <w:tab w:val="left" w:pos="10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B212F" w:rsidRPr="008B212F" w:rsidTr="001725D0"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 xml:space="preserve">Инфраструктурный (кампусный) 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5"/>
              </w:numPr>
              <w:tabs>
                <w:tab w:val="left" w:pos="228"/>
              </w:tabs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студенческие коворкинги, мультимедийные классы, видеостудии и иные пространства для реализации Программы развития;</w:t>
            </w:r>
          </w:p>
          <w:p w:rsidR="008B212F" w:rsidRPr="008B212F" w:rsidRDefault="008B212F" w:rsidP="008B212F">
            <w:pPr>
              <w:numPr>
                <w:ilvl w:val="0"/>
                <w:numId w:val="5"/>
              </w:numPr>
              <w:tabs>
                <w:tab w:val="left" w:pos="228"/>
              </w:tabs>
              <w:spacing w:after="20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 xml:space="preserve">учебные </w:t>
            </w:r>
            <w:r w:rsidRPr="008B212F">
              <w:rPr>
                <w:rFonts w:eastAsia="Calibri"/>
                <w:sz w:val="24"/>
                <w:szCs w:val="24"/>
                <w:lang w:val="en-US"/>
              </w:rPr>
              <w:t>VR/AR</w:t>
            </w:r>
            <w:r w:rsidRPr="008B212F">
              <w:rPr>
                <w:rFonts w:eastAsia="Calibri"/>
                <w:sz w:val="24"/>
                <w:szCs w:val="24"/>
              </w:rPr>
              <w:t>-лаборатории.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B212F" w:rsidRPr="008B212F" w:rsidTr="001725D0">
        <w:trPr>
          <w:trHeight w:val="1945"/>
        </w:trPr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 xml:space="preserve">Организационный 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4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проектирование и запуск инновационных конкурсов, кейс-чемпионатов, хакатонов, муткортов и конкурсов с привлечением представителей индустрии;</w:t>
            </w:r>
          </w:p>
          <w:p w:rsidR="008B212F" w:rsidRPr="008B212F" w:rsidRDefault="008B212F" w:rsidP="008B212F">
            <w:pPr>
              <w:numPr>
                <w:ilvl w:val="0"/>
                <w:numId w:val="4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комиссии, комитеты, иные площадки совместно с представителями индустрии по предметным отраслям стратегического проекта;</w:t>
            </w:r>
          </w:p>
          <w:p w:rsidR="008B212F" w:rsidRPr="008B212F" w:rsidRDefault="008B212F" w:rsidP="008B212F">
            <w:pPr>
              <w:numPr>
                <w:ilvl w:val="0"/>
                <w:numId w:val="4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инновационные междисциплинарные лаборатории, кафедры, САЕ.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обязательное участие представителей участников Консорциума «Инновационная юриспруденция».</w:t>
            </w:r>
          </w:p>
        </w:tc>
      </w:tr>
      <w:tr w:rsidR="008B212F" w:rsidRPr="008B212F" w:rsidTr="001725D0">
        <w:tc>
          <w:tcPr>
            <w:tcW w:w="4219" w:type="dxa"/>
          </w:tcPr>
          <w:p w:rsidR="008B212F" w:rsidRPr="008B212F" w:rsidRDefault="008B212F" w:rsidP="008B212F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B212F">
              <w:rPr>
                <w:b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6662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стипендиальные программы или иные программы поддержки талантливой молодежи;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программы правового информирования и правового просвещения населения;</w:t>
            </w:r>
          </w:p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28"/>
              </w:tabs>
              <w:spacing w:after="20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подготовка заключений на обращения граждан о нарушении прав, в том числе в цифровом пространстве (юридическая помощь).</w:t>
            </w:r>
          </w:p>
        </w:tc>
        <w:tc>
          <w:tcPr>
            <w:tcW w:w="3969" w:type="dxa"/>
          </w:tcPr>
          <w:p w:rsidR="008B212F" w:rsidRPr="008B212F" w:rsidRDefault="008B212F" w:rsidP="008B212F">
            <w:pPr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212F">
              <w:rPr>
                <w:rFonts w:eastAsia="Calibri"/>
                <w:sz w:val="24"/>
                <w:szCs w:val="24"/>
              </w:rPr>
              <w:t>информационное сопровождение всего периода реализации, в том числе на Интернет-ресурсах участников Консорциума «Инновационная юриспруденция».</w:t>
            </w:r>
          </w:p>
        </w:tc>
      </w:tr>
    </w:tbl>
    <w:p w:rsidR="008B212F" w:rsidRDefault="008B212F" w:rsidP="009969BA">
      <w:pPr>
        <w:spacing w:after="0" w:line="240" w:lineRule="auto"/>
        <w:rPr>
          <w:rFonts w:ascii="Times New Roman" w:hAnsi="Times New Roman"/>
          <w:sz w:val="28"/>
        </w:rPr>
        <w:sectPr w:rsidR="008B212F" w:rsidSect="008B21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7B47" w:rsidRDefault="00D87B47" w:rsidP="009969BA">
      <w:pPr>
        <w:spacing w:after="0" w:line="240" w:lineRule="auto"/>
        <w:rPr>
          <w:rFonts w:ascii="Times New Roman" w:hAnsi="Times New Roman"/>
          <w:sz w:val="28"/>
        </w:rPr>
      </w:pPr>
    </w:p>
    <w:sectPr w:rsidR="00D87B47" w:rsidSect="00D87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4E" w:rsidRDefault="0068654E" w:rsidP="00D87B47">
      <w:pPr>
        <w:spacing w:after="0" w:line="240" w:lineRule="auto"/>
      </w:pPr>
      <w:r>
        <w:separator/>
      </w:r>
    </w:p>
  </w:endnote>
  <w:endnote w:type="continuationSeparator" w:id="0">
    <w:p w:rsidR="0068654E" w:rsidRDefault="0068654E" w:rsidP="00D8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4E" w:rsidRDefault="0068654E" w:rsidP="00D87B47">
      <w:pPr>
        <w:spacing w:after="0" w:line="240" w:lineRule="auto"/>
      </w:pPr>
      <w:r>
        <w:separator/>
      </w:r>
    </w:p>
  </w:footnote>
  <w:footnote w:type="continuationSeparator" w:id="0">
    <w:p w:rsidR="0068654E" w:rsidRDefault="0068654E" w:rsidP="00D87B47">
      <w:pPr>
        <w:spacing w:after="0" w:line="240" w:lineRule="auto"/>
      </w:pPr>
      <w:r>
        <w:continuationSeparator/>
      </w:r>
    </w:p>
  </w:footnote>
  <w:footnote w:id="1">
    <w:p w:rsidR="008B212F" w:rsidRPr="005817CB" w:rsidRDefault="008B212F" w:rsidP="008B212F">
      <w:pPr>
        <w:pStyle w:val="ab"/>
        <w:jc w:val="both"/>
        <w:rPr>
          <w:rFonts w:ascii="Times New Roman" w:hAnsi="Times New Roman" w:cs="Times New Roman"/>
          <w:sz w:val="22"/>
        </w:rPr>
      </w:pPr>
      <w:r w:rsidRPr="005817CB">
        <w:rPr>
          <w:rStyle w:val="ad"/>
          <w:rFonts w:ascii="Times New Roman" w:hAnsi="Times New Roman" w:cs="Times New Roman"/>
          <w:sz w:val="22"/>
        </w:rPr>
        <w:footnoteRef/>
      </w:r>
      <w:r w:rsidRPr="005817CB">
        <w:rPr>
          <w:rFonts w:ascii="Times New Roman" w:hAnsi="Times New Roman" w:cs="Times New Roman"/>
          <w:sz w:val="22"/>
        </w:rPr>
        <w:t xml:space="preserve"> Документ, содержащий решение, принятое в результате обсуждения какого-либо вопроса на мероприятии научно-практического характера.</w:t>
      </w:r>
    </w:p>
    <w:p w:rsidR="008B212F" w:rsidRPr="005817CB" w:rsidRDefault="008B212F" w:rsidP="008B212F">
      <w:pPr>
        <w:pStyle w:val="ab"/>
        <w:jc w:val="both"/>
        <w:rPr>
          <w:rFonts w:ascii="Times New Roman" w:hAnsi="Times New Roman" w:cs="Times New Roman"/>
          <w:sz w:val="22"/>
        </w:rPr>
      </w:pPr>
      <w:r w:rsidRPr="005817CB">
        <w:rPr>
          <w:rFonts w:ascii="Times New Roman" w:hAnsi="Times New Roman" w:cs="Times New Roman"/>
          <w:sz w:val="22"/>
        </w:rPr>
        <w:t>Типовая структура включает следующие разделы:</w:t>
      </w:r>
    </w:p>
    <w:p w:rsidR="008B212F" w:rsidRPr="005817CB" w:rsidRDefault="008B212F" w:rsidP="008B212F">
      <w:pPr>
        <w:pStyle w:val="ab"/>
        <w:jc w:val="both"/>
        <w:rPr>
          <w:rFonts w:ascii="Times New Roman" w:hAnsi="Times New Roman" w:cs="Times New Roman"/>
          <w:sz w:val="22"/>
        </w:rPr>
      </w:pPr>
      <w:r w:rsidRPr="005817CB">
        <w:rPr>
          <w:rFonts w:ascii="Times New Roman" w:hAnsi="Times New Roman" w:cs="Times New Roman"/>
          <w:sz w:val="22"/>
        </w:rPr>
        <w:t>•</w:t>
      </w:r>
      <w:r w:rsidRPr="005817CB">
        <w:rPr>
          <w:rFonts w:ascii="Times New Roman" w:hAnsi="Times New Roman" w:cs="Times New Roman"/>
          <w:sz w:val="22"/>
        </w:rPr>
        <w:tab/>
        <w:t>заголовок (реквизиты мероприятия, по результатам которого принята данная резолюция);</w:t>
      </w:r>
    </w:p>
    <w:p w:rsidR="008B212F" w:rsidRPr="005817CB" w:rsidRDefault="008B212F" w:rsidP="008B212F">
      <w:pPr>
        <w:pStyle w:val="ab"/>
        <w:jc w:val="both"/>
        <w:rPr>
          <w:rFonts w:ascii="Times New Roman" w:hAnsi="Times New Roman" w:cs="Times New Roman"/>
          <w:sz w:val="22"/>
        </w:rPr>
      </w:pPr>
      <w:r w:rsidRPr="005817CB">
        <w:rPr>
          <w:rFonts w:ascii="Times New Roman" w:hAnsi="Times New Roman" w:cs="Times New Roman"/>
          <w:sz w:val="22"/>
        </w:rPr>
        <w:t>•</w:t>
      </w:r>
      <w:r w:rsidRPr="005817CB">
        <w:rPr>
          <w:rFonts w:ascii="Times New Roman" w:hAnsi="Times New Roman" w:cs="Times New Roman"/>
          <w:sz w:val="22"/>
        </w:rPr>
        <w:tab/>
        <w:t>преамбула (перечень вопросов, которые обсуждались в ходе мероприятия, сведения об участниках конференции);</w:t>
      </w:r>
    </w:p>
    <w:p w:rsidR="008B212F" w:rsidRPr="005817CB" w:rsidRDefault="008B212F" w:rsidP="008B212F">
      <w:pPr>
        <w:pStyle w:val="ab"/>
        <w:jc w:val="both"/>
        <w:rPr>
          <w:rFonts w:ascii="Times New Roman" w:hAnsi="Times New Roman" w:cs="Times New Roman"/>
          <w:sz w:val="22"/>
        </w:rPr>
      </w:pPr>
      <w:r w:rsidRPr="005817CB">
        <w:rPr>
          <w:rFonts w:ascii="Times New Roman" w:hAnsi="Times New Roman" w:cs="Times New Roman"/>
          <w:sz w:val="22"/>
        </w:rPr>
        <w:t>•</w:t>
      </w:r>
      <w:r w:rsidRPr="005817CB">
        <w:rPr>
          <w:rFonts w:ascii="Times New Roman" w:hAnsi="Times New Roman" w:cs="Times New Roman"/>
          <w:sz w:val="22"/>
        </w:rPr>
        <w:tab/>
        <w:t>основная часть (решения, принятые рабочей группой или руководящим органом мероприятия, которые обычно представлены как совокупность рекомендаций или распоряжений);</w:t>
      </w:r>
    </w:p>
    <w:p w:rsidR="008B212F" w:rsidRDefault="008B212F" w:rsidP="008B212F">
      <w:pPr>
        <w:pStyle w:val="ab"/>
        <w:jc w:val="both"/>
      </w:pPr>
      <w:r w:rsidRPr="005817CB">
        <w:rPr>
          <w:rFonts w:ascii="Times New Roman" w:hAnsi="Times New Roman" w:cs="Times New Roman"/>
          <w:sz w:val="22"/>
        </w:rPr>
        <w:t>•</w:t>
      </w:r>
      <w:r w:rsidRPr="005817CB">
        <w:rPr>
          <w:rFonts w:ascii="Times New Roman" w:hAnsi="Times New Roman" w:cs="Times New Roman"/>
          <w:sz w:val="22"/>
        </w:rPr>
        <w:tab/>
        <w:t>заключительная часть (содержит вывод о значении принятых решений).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62F"/>
    <w:multiLevelType w:val="hybridMultilevel"/>
    <w:tmpl w:val="2D5EC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84288"/>
    <w:multiLevelType w:val="hybridMultilevel"/>
    <w:tmpl w:val="279C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1B6B"/>
    <w:multiLevelType w:val="hybridMultilevel"/>
    <w:tmpl w:val="DC9E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39EA"/>
    <w:multiLevelType w:val="multilevel"/>
    <w:tmpl w:val="2056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B56C1"/>
    <w:multiLevelType w:val="hybridMultilevel"/>
    <w:tmpl w:val="D91A4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6D14F5"/>
    <w:multiLevelType w:val="hybridMultilevel"/>
    <w:tmpl w:val="75A23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60"/>
    <w:rsid w:val="00006144"/>
    <w:rsid w:val="00014387"/>
    <w:rsid w:val="00030BB5"/>
    <w:rsid w:val="0005068D"/>
    <w:rsid w:val="00053B2A"/>
    <w:rsid w:val="00092488"/>
    <w:rsid w:val="000A64D7"/>
    <w:rsid w:val="000B6E2F"/>
    <w:rsid w:val="0013087C"/>
    <w:rsid w:val="00191E4B"/>
    <w:rsid w:val="001B0C88"/>
    <w:rsid w:val="001D0729"/>
    <w:rsid w:val="001D75AB"/>
    <w:rsid w:val="0024488B"/>
    <w:rsid w:val="0032219D"/>
    <w:rsid w:val="00352536"/>
    <w:rsid w:val="003B18A3"/>
    <w:rsid w:val="003B3F18"/>
    <w:rsid w:val="003C023F"/>
    <w:rsid w:val="0041429A"/>
    <w:rsid w:val="0043432C"/>
    <w:rsid w:val="00481DED"/>
    <w:rsid w:val="00542024"/>
    <w:rsid w:val="005640AB"/>
    <w:rsid w:val="00572DC4"/>
    <w:rsid w:val="00642330"/>
    <w:rsid w:val="0068654E"/>
    <w:rsid w:val="006C14BF"/>
    <w:rsid w:val="006E0937"/>
    <w:rsid w:val="006E4BD5"/>
    <w:rsid w:val="0072719F"/>
    <w:rsid w:val="00740E73"/>
    <w:rsid w:val="00771E3E"/>
    <w:rsid w:val="00792943"/>
    <w:rsid w:val="0080123E"/>
    <w:rsid w:val="008506F8"/>
    <w:rsid w:val="00852327"/>
    <w:rsid w:val="00881824"/>
    <w:rsid w:val="00894205"/>
    <w:rsid w:val="008B212F"/>
    <w:rsid w:val="008C0296"/>
    <w:rsid w:val="008C4AC0"/>
    <w:rsid w:val="008E197D"/>
    <w:rsid w:val="008F1757"/>
    <w:rsid w:val="00902849"/>
    <w:rsid w:val="00932562"/>
    <w:rsid w:val="00982583"/>
    <w:rsid w:val="00982ECB"/>
    <w:rsid w:val="009969BA"/>
    <w:rsid w:val="009E49A7"/>
    <w:rsid w:val="00A27CE6"/>
    <w:rsid w:val="00A472F4"/>
    <w:rsid w:val="00A7165E"/>
    <w:rsid w:val="00AB722A"/>
    <w:rsid w:val="00AE065A"/>
    <w:rsid w:val="00AE2160"/>
    <w:rsid w:val="00B07EA5"/>
    <w:rsid w:val="00B201DC"/>
    <w:rsid w:val="00B22117"/>
    <w:rsid w:val="00B621B0"/>
    <w:rsid w:val="00BC2171"/>
    <w:rsid w:val="00C757AF"/>
    <w:rsid w:val="00C87C5D"/>
    <w:rsid w:val="00C93560"/>
    <w:rsid w:val="00C952DF"/>
    <w:rsid w:val="00CD1694"/>
    <w:rsid w:val="00D87B47"/>
    <w:rsid w:val="00DD321A"/>
    <w:rsid w:val="00DE155B"/>
    <w:rsid w:val="00EC067E"/>
    <w:rsid w:val="00F0531D"/>
    <w:rsid w:val="00F06983"/>
    <w:rsid w:val="00F10ECF"/>
    <w:rsid w:val="00F63F10"/>
    <w:rsid w:val="00F90714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50DF1"/>
  <w15:chartTrackingRefBased/>
  <w15:docId w15:val="{69EB5E94-7560-4187-AA21-A9DEECD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BC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2171"/>
  </w:style>
  <w:style w:type="character" w:customStyle="1" w:styleId="spellingerror">
    <w:name w:val="spellingerror"/>
    <w:basedOn w:val="a0"/>
    <w:rsid w:val="00BC2171"/>
  </w:style>
  <w:style w:type="character" w:customStyle="1" w:styleId="eop">
    <w:name w:val="eop"/>
    <w:basedOn w:val="a0"/>
    <w:rsid w:val="00BC2171"/>
  </w:style>
  <w:style w:type="character" w:styleId="a4">
    <w:name w:val="Hyperlink"/>
    <w:basedOn w:val="a0"/>
    <w:uiPriority w:val="99"/>
    <w:unhideWhenUsed/>
    <w:rsid w:val="00DE155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99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D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B47"/>
  </w:style>
  <w:style w:type="paragraph" w:styleId="a9">
    <w:name w:val="footer"/>
    <w:basedOn w:val="a"/>
    <w:link w:val="aa"/>
    <w:uiPriority w:val="99"/>
    <w:unhideWhenUsed/>
    <w:rsid w:val="00D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B47"/>
  </w:style>
  <w:style w:type="paragraph" w:styleId="ab">
    <w:name w:val="footnote text"/>
    <w:aliases w:val="Текст сноски Знак1 Знак,Текст сноски Знак Знак Знак,Знак2,Footnote Text Char Знак Знак,Footnote Text Char Знак,single space,Текст сноски-FN,Footnote text,Schriftart: 9 pt,Schriftart: 10 pt,Schriftart: 8 pt,Podrozdział,Footno,Footnote Знак,f"/>
    <w:basedOn w:val="a"/>
    <w:link w:val="ac"/>
    <w:uiPriority w:val="99"/>
    <w:unhideWhenUsed/>
    <w:rsid w:val="00B201D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Текст сноски Знак1 Знак Знак,Текст сноски Знак Знак Знак Знак,Знак2 Знак,Footnote Text Char Знак Знак Знак,Footnote Text Char Знак Знак1,single space Знак,Текст сноски-FN Знак,Footnote text Знак,Schriftart: 9 pt Знак,Podrozdział Знак"/>
    <w:basedOn w:val="a0"/>
    <w:link w:val="ab"/>
    <w:uiPriority w:val="99"/>
    <w:semiHidden/>
    <w:rsid w:val="00B201D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201D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F175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F175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F1757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8E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3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DE601CA6168146989BBDCE4DD1F985" ma:contentTypeVersion="14" ma:contentTypeDescription="Создание документа." ma:contentTypeScope="" ma:versionID="1a32e7ab9472d018c4d1eecf82bd9452">
  <xsd:schema xmlns:xsd="http://www.w3.org/2001/XMLSchema" xmlns:xs="http://www.w3.org/2001/XMLSchema" xmlns:p="http://schemas.microsoft.com/office/2006/metadata/properties" xmlns:ns3="c58da165-40b5-4a9d-959c-9cee579cfd1f" xmlns:ns4="05e7f19d-89cf-451e-a25e-d9489ab25d50" targetNamespace="http://schemas.microsoft.com/office/2006/metadata/properties" ma:root="true" ma:fieldsID="3f82cd4852094409cb347e7f78aab08f" ns3:_="" ns4:_="">
    <xsd:import namespace="c58da165-40b5-4a9d-959c-9cee579cfd1f"/>
    <xsd:import namespace="05e7f19d-89cf-451e-a25e-d9489ab25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da165-40b5-4a9d-959c-9cee579cf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7f19d-89cf-451e-a25e-d9489ab2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75A7-D4C8-48E5-8691-DF28D3561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da165-40b5-4a9d-959c-9cee579cfd1f"/>
    <ds:schemaRef ds:uri="05e7f19d-89cf-451e-a25e-d9489ab2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E36D0-720B-42F2-8F5D-70148FA86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79AD3A-CC32-4D8E-AD97-C886FFFA5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EA44E-D6CC-4342-89C4-8061DAF2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Вера Владиславовна</dc:creator>
  <cp:keywords/>
  <dc:description/>
  <cp:lastModifiedBy>Никитина Алёна Алексеевна</cp:lastModifiedBy>
  <cp:revision>2</cp:revision>
  <cp:lastPrinted>2022-11-17T07:16:00Z</cp:lastPrinted>
  <dcterms:created xsi:type="dcterms:W3CDTF">2023-11-24T15:27:00Z</dcterms:created>
  <dcterms:modified xsi:type="dcterms:W3CDTF">2023-11-24T15:27:00Z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0x01010046DE601CA6168146989BBDCE4DD1F985</vt:lpwstr>
  </property>
</Properties>
</file>